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4722E1BB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850BFC">
        <w:rPr>
          <w:rFonts w:ascii="Times New Roman" w:hAnsi="Times New Roman" w:cs="Times New Roman"/>
        </w:rPr>
        <w:t>Новосибирск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3073D497" w14:textId="63B5BC70" w:rsidR="004417E1" w:rsidRPr="00AE70CF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365A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r w:rsidR="001376C8">
        <w:rPr>
          <w:rFonts w:ascii="Times New Roman" w:hAnsi="Times New Roman" w:cs="Times New Roman"/>
          <w:b/>
          <w:bCs/>
        </w:rPr>
        <w:t>Основа</w:t>
      </w:r>
      <w:r w:rsidRPr="005B365A">
        <w:rPr>
          <w:rFonts w:ascii="Times New Roman" w:hAnsi="Times New Roman" w:cs="Times New Roman"/>
          <w:b/>
          <w:bCs/>
        </w:rPr>
        <w:t>»,</w:t>
      </w:r>
      <w:r w:rsidRPr="00AE70CF">
        <w:rPr>
          <w:rFonts w:ascii="Times New Roman" w:hAnsi="Times New Roman" w:cs="Times New Roman"/>
        </w:rPr>
        <w:t xml:space="preserve"> именуемое в</w:t>
      </w:r>
      <w:r w:rsidR="001376C8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</w:rPr>
        <w:t xml:space="preserve">дальнейшем «Сторона 1», в лице </w:t>
      </w:r>
      <w:r>
        <w:rPr>
          <w:rFonts w:ascii="Times New Roman" w:hAnsi="Times New Roman" w:cs="Times New Roman"/>
        </w:rPr>
        <w:t>генерального директора Максак Наталии Геннадьевны</w:t>
      </w:r>
      <w:r w:rsidRPr="00AE70CF">
        <w:rPr>
          <w:rFonts w:ascii="Times New Roman" w:hAnsi="Times New Roman" w:cs="Times New Roman"/>
        </w:rPr>
        <w:t>, действующей на основании Устава, с одной стороны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с одной стороны, и  </w:t>
      </w:r>
    </w:p>
    <w:p w14:paraId="66AF807E" w14:textId="62BD9B7B" w:rsidR="004417E1" w:rsidRPr="00AE70CF" w:rsidRDefault="00052A9D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0BFC">
        <w:rPr>
          <w:rFonts w:ascii="Times New Roman" w:hAnsi="Times New Roman" w:cs="Times New Roman"/>
          <w:b/>
          <w:bCs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926B7C9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D657CC7" w14:textId="7970A133" w:rsidR="00850BFC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0E52998" w14:textId="77777777" w:rsidR="00850BFC" w:rsidRPr="00AE70CF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lastRenderedPageBreak/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т.ч.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2C53BDFA" w14:textId="3F15D500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Стороны 1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850BFC" w:rsidRPr="00470B02">
        <w:rPr>
          <w:rFonts w:ascii="Times New Roman" w:hAnsi="Times New Roman" w:cs="Times New Roman"/>
          <w:color w:val="000000"/>
        </w:rPr>
        <w:t xml:space="preserve">АО «Производственная фирма «СКБ Контур»,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(ИНН </w:t>
      </w:r>
      <w:r w:rsidR="00850BFC" w:rsidRPr="00470B02">
        <w:rPr>
          <w:rFonts w:ascii="Times New Roman" w:hAnsi="Times New Roman" w:cs="Times New Roman"/>
          <w:color w:val="000000"/>
        </w:rPr>
        <w:t>6663003127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, ОГРН  </w:t>
      </w:r>
      <w:r w:rsidR="00850BFC" w:rsidRPr="00BF1C84">
        <w:rPr>
          <w:rFonts w:ascii="Times New Roman" w:eastAsia="Times New Roman" w:hAnsi="Times New Roman" w:cs="Times New Roman"/>
          <w:lang w:eastAsia="ru-RU"/>
        </w:rPr>
        <w:t>1026605606620</w:t>
      </w:r>
      <w:r w:rsidR="00850BFC">
        <w:rPr>
          <w:rFonts w:ascii="Times New Roman" w:eastAsia="Times New Roman" w:hAnsi="Times New Roman" w:cs="Times New Roman"/>
          <w:lang w:eastAsia="ru-RU"/>
        </w:rPr>
        <w:t>,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 тел./факс </w:t>
      </w:r>
      <w:r w:rsidR="00850BFC" w:rsidRPr="00470B02">
        <w:rPr>
          <w:rFonts w:ascii="Times New Roman" w:eastAsia="Times New Roman" w:hAnsi="Times New Roman" w:cs="Times New Roman"/>
          <w:lang w:eastAsia="ru-RU"/>
        </w:rPr>
        <w:t>8 800 500-50-80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>,   эл.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почта </w:t>
      </w:r>
      <w:hyperlink r:id="rId10" w:history="1">
        <w:r w:rsidR="00850BFC" w:rsidRPr="00470B02">
          <w:rPr>
            <w:rFonts w:ascii="Times New Roman" w:eastAsia="Times New Roman" w:hAnsi="Times New Roman" w:cs="Times New Roman"/>
            <w:color w:val="015CCB"/>
            <w:u w:val="single"/>
            <w:lang w:eastAsia="ru-RU"/>
          </w:rPr>
          <w:t>info@skbkontur.ru</w:t>
        </w:r>
      </w:hyperlink>
      <w:r w:rsidR="00850BFC" w:rsidRPr="00470B02">
        <w:rPr>
          <w:rFonts w:ascii="Times New Roman" w:eastAsiaTheme="minorEastAsia" w:hAnsi="Times New Roman" w:cs="Times New Roman"/>
          <w:lang w:eastAsia="ru-RU"/>
        </w:rPr>
        <w:t>).</w:t>
      </w:r>
    </w:p>
    <w:p w14:paraId="69A534FE" w14:textId="77777777" w:rsidR="001376C8" w:rsidRDefault="00F55A7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1376C8" w:rsidRPr="003F5539">
        <w:rPr>
          <w:rFonts w:ascii="Times New Roman" w:hAnsi="Times New Roman" w:cs="Times New Roman"/>
          <w:b/>
          <w:bCs/>
        </w:rPr>
        <w:t>2BM-5402552145-540601001-201603020548375224244</w:t>
      </w:r>
    </w:p>
    <w:p w14:paraId="2D382486" w14:textId="51F2C610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0DE9F333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В случае если Сторона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2 использует другого оператора ЭДО, отличного от </w:t>
      </w:r>
      <w:r w:rsidR="00850BFC" w:rsidRPr="00470B02">
        <w:rPr>
          <w:rFonts w:ascii="Times New Roman" w:hAnsi="Times New Roman" w:cs="Times New Roman"/>
          <w:color w:val="000000"/>
        </w:rPr>
        <w:t>АО «Производственная фирма «СКБ Контур»</w:t>
      </w:r>
      <w:r w:rsidR="00850BFC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Сторона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2 обязана по требованию Стороны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1 и/или </w:t>
      </w:r>
      <w:r w:rsidR="00850BFC" w:rsidRPr="00470B02">
        <w:rPr>
          <w:rFonts w:ascii="Times New Roman" w:hAnsi="Times New Roman" w:cs="Times New Roman"/>
          <w:color w:val="000000"/>
        </w:rPr>
        <w:t>АО «Производственная фирма «СКБ Контур»</w:t>
      </w:r>
      <w:r w:rsidR="00850BFC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850B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50BFC">
        <w:rPr>
          <w:rFonts w:ascii="Times New Roman" w:hAnsi="Times New Roman" w:cs="Times New Roman"/>
          <w:b/>
          <w:bCs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30DE2FFC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извещений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7468D8D" w14:textId="77777777" w:rsidR="00F2072E" w:rsidRPr="000C7799" w:rsidRDefault="00F2072E" w:rsidP="00F2072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C7799">
        <w:rPr>
          <w:rFonts w:ascii="Times New Roman" w:hAnsi="Times New Roman" w:cs="Times New Roman"/>
          <w:b/>
          <w:bCs/>
        </w:rPr>
        <w:t>РЕКВИЗИТЫ И ПОДПИСИ СТОРОН</w:t>
      </w:r>
    </w:p>
    <w:p w14:paraId="08B1095B" w14:textId="77777777" w:rsidR="00F2072E" w:rsidRPr="00AE70CF" w:rsidRDefault="00F2072E" w:rsidP="00F2072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4971"/>
        <w:gridCol w:w="4848"/>
      </w:tblGrid>
      <w:tr w:rsidR="00F2072E" w:rsidRPr="00A5596A" w14:paraId="43952C56" w14:textId="77777777" w:rsidTr="00AA7F68">
        <w:trPr>
          <w:trHeight w:val="250"/>
        </w:trPr>
        <w:tc>
          <w:tcPr>
            <w:tcW w:w="4971" w:type="dxa"/>
          </w:tcPr>
          <w:p w14:paraId="0AC0A534" w14:textId="7F0E24B0" w:rsidR="00F2072E" w:rsidRPr="00A5596A" w:rsidRDefault="00F2072E" w:rsidP="00AA7F6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596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«Сторона 1»</w:t>
            </w:r>
          </w:p>
        </w:tc>
        <w:tc>
          <w:tcPr>
            <w:tcW w:w="4848" w:type="dxa"/>
          </w:tcPr>
          <w:p w14:paraId="1B8E77C3" w14:textId="77777777" w:rsidR="00F2072E" w:rsidRPr="00A5596A" w:rsidRDefault="00F2072E" w:rsidP="00AA7F6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A5596A">
              <w:rPr>
                <w:rFonts w:ascii="Times New Roman" w:hAnsi="Times New Roman" w:cs="Times New Roman"/>
              </w:rPr>
              <w:t>«Сторона 2»</w:t>
            </w:r>
          </w:p>
        </w:tc>
      </w:tr>
      <w:tr w:rsidR="001376C8" w:rsidRPr="00A5596A" w14:paraId="0CDE90D9" w14:textId="77777777" w:rsidTr="00AA7F68">
        <w:trPr>
          <w:trHeight w:val="3271"/>
        </w:trPr>
        <w:tc>
          <w:tcPr>
            <w:tcW w:w="4971" w:type="dxa"/>
          </w:tcPr>
          <w:p w14:paraId="088FD9D8" w14:textId="77777777" w:rsidR="001376C8" w:rsidRPr="00E67F5E" w:rsidRDefault="001376C8" w:rsidP="001376C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67F5E">
              <w:rPr>
                <w:rFonts w:ascii="Times New Roman" w:hAnsi="Times New Roman" w:cs="Times New Roman"/>
                <w:bCs/>
              </w:rPr>
              <w:t>ООО «Основа»</w:t>
            </w:r>
          </w:p>
          <w:p w14:paraId="11A4DB69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 xml:space="preserve">ИНН </w:t>
            </w:r>
            <w:r w:rsidRPr="00E67F5E">
              <w:rPr>
                <w:rFonts w:ascii="Times New Roman" w:hAnsi="Times New Roman" w:cs="Times New Roman"/>
              </w:rPr>
              <w:t>5402552145</w:t>
            </w:r>
            <w:r w:rsidRPr="00E67F5E">
              <w:rPr>
                <w:rFonts w:ascii="Times New Roman" w:eastAsia="Courier New" w:hAnsi="Times New Roman" w:cs="Times New Roman"/>
              </w:rPr>
              <w:t xml:space="preserve">, КПП </w:t>
            </w:r>
            <w:r w:rsidRPr="00E67F5E">
              <w:rPr>
                <w:rFonts w:ascii="Times New Roman" w:hAnsi="Times New Roman" w:cs="Times New Roman"/>
              </w:rPr>
              <w:t>543301001</w:t>
            </w:r>
          </w:p>
          <w:p w14:paraId="7C81F780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>Юр/факт. адрес: 630526, Новосибирская обл., Новосибирский р-н, п. Мичуринский, Советское шоссе, дом 19/1, этаж 2, кабинет 9</w:t>
            </w:r>
          </w:p>
          <w:p w14:paraId="2100D7B9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 xml:space="preserve">р/счет </w:t>
            </w:r>
            <w:r w:rsidRPr="00E67F5E">
              <w:rPr>
                <w:rFonts w:ascii="Times New Roman" w:hAnsi="Times New Roman" w:cs="Times New Roman"/>
              </w:rPr>
              <w:t>40702810644070098070</w:t>
            </w:r>
          </w:p>
          <w:p w14:paraId="38608F2D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>в Публичное акционерное общество «Сбербанк России»</w:t>
            </w:r>
          </w:p>
          <w:p w14:paraId="6B618950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>к/счет 30101810500000000641</w:t>
            </w:r>
          </w:p>
          <w:p w14:paraId="17DDA558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>БИК 045004641</w:t>
            </w:r>
          </w:p>
          <w:p w14:paraId="2D1CEE5F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49F17E57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E67F5E">
              <w:rPr>
                <w:rFonts w:ascii="Times New Roman" w:eastAsia="Courier New" w:hAnsi="Times New Roman" w:cs="Times New Roman"/>
              </w:rPr>
              <w:t>Генеральный директор</w:t>
            </w:r>
          </w:p>
          <w:p w14:paraId="5088A28D" w14:textId="77777777" w:rsidR="001376C8" w:rsidRPr="00E67F5E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129B4DA0" w14:textId="24D0D7FC" w:rsidR="001376C8" w:rsidRPr="00A5596A" w:rsidRDefault="001376C8" w:rsidP="001376C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 w:rsidRPr="00E67F5E">
              <w:rPr>
                <w:rFonts w:ascii="Times New Roman" w:eastAsia="Courier New" w:hAnsi="Times New Roman" w:cs="Times New Roman"/>
              </w:rPr>
              <w:t>___________________/Максак</w:t>
            </w:r>
            <w:r>
              <w:rPr>
                <w:rFonts w:ascii="Times New Roman" w:eastAsia="Courier New" w:hAnsi="Times New Roman" w:cs="Times New Roman"/>
              </w:rPr>
              <w:t xml:space="preserve"> Н.Г.</w:t>
            </w:r>
            <w:r w:rsidRPr="00E67F5E">
              <w:rPr>
                <w:rFonts w:ascii="Times New Roman" w:eastAsia="Courier New" w:hAnsi="Times New Roman" w:cs="Times New Roman"/>
              </w:rPr>
              <w:t>/</w:t>
            </w:r>
          </w:p>
        </w:tc>
        <w:tc>
          <w:tcPr>
            <w:tcW w:w="4848" w:type="dxa"/>
          </w:tcPr>
          <w:p w14:paraId="7EC2C82B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11861CD3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610C8039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37A0060A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111486BA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5B813FEC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087E1CFA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692A46EF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15F02DCC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3A199EF6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03F41185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4550E01A" w14:textId="77777777" w:rsidR="001376C8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4AB2158B" w14:textId="77777777" w:rsidR="001376C8" w:rsidRPr="00A5596A" w:rsidRDefault="001376C8" w:rsidP="001376C8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42352BD0" w14:textId="2CF15601" w:rsidR="001376C8" w:rsidRPr="00A5596A" w:rsidRDefault="001376C8" w:rsidP="001376C8">
            <w:pPr>
              <w:tabs>
                <w:tab w:val="left" w:pos="0"/>
              </w:tabs>
              <w:spacing w:after="0" w:line="240" w:lineRule="auto"/>
              <w:ind w:right="-2"/>
              <w:jc w:val="both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___________________/</w:t>
            </w:r>
            <w:r>
              <w:rPr>
                <w:rFonts w:ascii="Times New Roman" w:eastAsia="Courier New" w:hAnsi="Times New Roman" w:cs="Times New Roman"/>
              </w:rPr>
              <w:t>_____________________</w:t>
            </w:r>
            <w:r w:rsidRPr="00A5596A">
              <w:rPr>
                <w:rFonts w:ascii="Times New Roman" w:eastAsia="Courier New" w:hAnsi="Times New Roman" w:cs="Times New Roman"/>
              </w:rPr>
              <w:t>/</w:t>
            </w:r>
          </w:p>
        </w:tc>
      </w:tr>
    </w:tbl>
    <w:p w14:paraId="38C96EF0" w14:textId="1522EACC" w:rsidR="007E13FC" w:rsidRPr="00AE70CF" w:rsidRDefault="007E13FC" w:rsidP="001376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13FC" w:rsidRPr="00AE70CF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5524" w14:textId="77777777" w:rsidR="005304DE" w:rsidRDefault="005304DE" w:rsidP="001A210A">
      <w:pPr>
        <w:spacing w:after="0" w:line="240" w:lineRule="auto"/>
      </w:pPr>
      <w:r>
        <w:separator/>
      </w:r>
    </w:p>
  </w:endnote>
  <w:endnote w:type="continuationSeparator" w:id="0">
    <w:p w14:paraId="1B45F7F6" w14:textId="77777777" w:rsidR="005304DE" w:rsidRDefault="005304DE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2AF4537F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0E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61E1" w14:textId="77777777" w:rsidR="005304DE" w:rsidRDefault="005304DE" w:rsidP="001A210A">
      <w:pPr>
        <w:spacing w:after="0" w:line="240" w:lineRule="auto"/>
      </w:pPr>
      <w:r>
        <w:separator/>
      </w:r>
    </w:p>
  </w:footnote>
  <w:footnote w:type="continuationSeparator" w:id="0">
    <w:p w14:paraId="64FEA09D" w14:textId="77777777" w:rsidR="005304DE" w:rsidRDefault="005304DE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1"/>
    <w:rsid w:val="00012310"/>
    <w:rsid w:val="0003132B"/>
    <w:rsid w:val="0004669A"/>
    <w:rsid w:val="00052A9D"/>
    <w:rsid w:val="000541C6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376C8"/>
    <w:rsid w:val="00142989"/>
    <w:rsid w:val="001439A5"/>
    <w:rsid w:val="0015445F"/>
    <w:rsid w:val="00175631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304DE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50BFC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369D5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2072E"/>
    <w:rsid w:val="00F55A71"/>
    <w:rsid w:val="00F6278F"/>
    <w:rsid w:val="00F71788"/>
    <w:rsid w:val="00F737D0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057F-9F0D-4D9B-ADCC-59E97D5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Новосибирск</cp:lastModifiedBy>
  <cp:revision>4</cp:revision>
  <dcterms:created xsi:type="dcterms:W3CDTF">2022-04-05T10:04:00Z</dcterms:created>
  <dcterms:modified xsi:type="dcterms:W3CDTF">2022-04-05T10:15:00Z</dcterms:modified>
</cp:coreProperties>
</file>