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8449" w14:textId="77777777" w:rsidR="00685A78" w:rsidRDefault="00685A78">
      <w:r>
        <w:t xml:space="preserve">Для применения упрощенной системы ведения бухгалтерского учета СМП рекомендуется включить в учетную политику, в том числе, следующие положения: </w:t>
      </w:r>
    </w:p>
    <w:p w14:paraId="44F26C46" w14:textId="77777777" w:rsidR="00685A78" w:rsidRDefault="00685A78">
      <w:r>
        <w:t xml:space="preserve">• бухгалтерский учет ведется по упрощенной системе (посредством двойной записи на счетах бухгалтерского учета); </w:t>
      </w:r>
    </w:p>
    <w:p w14:paraId="17CB440C" w14:textId="77777777" w:rsidR="00685A78" w:rsidRDefault="00685A78">
      <w:r>
        <w:t xml:space="preserve">• применяется сокращенный рабочий план счетов бухгалтерского учета (план счетов приложить к учетной политике); </w:t>
      </w:r>
    </w:p>
    <w:p w14:paraId="113FD41E" w14:textId="77777777" w:rsidR="00685A78" w:rsidRDefault="00685A78">
      <w:r>
        <w:t xml:space="preserve">• факты хозяйственной жизни отражаются в бухгалтерском учете в том отчетном периоде, в котором они имели место, независимо от фактического времени поступления или выплаты денежных средств, связанных с этими фактами; </w:t>
      </w:r>
    </w:p>
    <w:p w14:paraId="54ACCF71" w14:textId="77777777" w:rsidR="00685A78" w:rsidRDefault="00685A78">
      <w:r>
        <w:t xml:space="preserve">• все внутренние операции оформляются первичными учетными документами, составленными по утвержденным формам (приложить формы к учетной политике); </w:t>
      </w:r>
    </w:p>
    <w:p w14:paraId="648DD057" w14:textId="77777777" w:rsidR="00685A78" w:rsidRDefault="00685A78">
      <w:r>
        <w:t xml:space="preserve">• первичные учетные документы контрагентов принимаются к бухгалтерскому учету, если они содержат все обязательные реквизиты, установленные ФЗ «О бухгалтерском учете»; </w:t>
      </w:r>
    </w:p>
    <w:p w14:paraId="1D19F32A" w14:textId="049F0BA1" w:rsidR="009F0E8A" w:rsidRDefault="00685A78">
      <w:r>
        <w:t>• применяются следующие формы регистров бухгалтерского учета:</w:t>
      </w:r>
    </w:p>
    <w:p w14:paraId="239811A3" w14:textId="0FBFABB1" w:rsidR="00685A78" w:rsidRDefault="00685A78" w:rsidP="001E2A9E">
      <w:pPr>
        <w:pStyle w:val="a3"/>
        <w:numPr>
          <w:ilvl w:val="0"/>
          <w:numId w:val="1"/>
        </w:numPr>
      </w:pPr>
      <w:r>
        <w:t xml:space="preserve">Ведомость по учету расчетов с персоналом по оплате труда (УС) предназначена для обобщения информации по расчетам с персоналом по оплате труда; </w:t>
      </w:r>
    </w:p>
    <w:p w14:paraId="6261796F" w14:textId="3D086229" w:rsidR="00685A78" w:rsidRDefault="00685A78" w:rsidP="001E2A9E">
      <w:pPr>
        <w:pStyle w:val="a3"/>
        <w:numPr>
          <w:ilvl w:val="0"/>
          <w:numId w:val="1"/>
        </w:numPr>
      </w:pPr>
      <w:r>
        <w:t>Книга бухгалтерского учета (УС), открываемая на ……</w:t>
      </w:r>
      <w:proofErr w:type="gramStart"/>
      <w:r>
        <w:t>…….</w:t>
      </w:r>
      <w:proofErr w:type="gramEnd"/>
      <w:r>
        <w:t xml:space="preserve">. (месяц, квартал, отчетный год), предназначена для обобщения информации о деятельности СМП. Регистры бухгалтерского учета составляются на бумажных носителях (формы регистров приложить к учетной политике); </w:t>
      </w:r>
    </w:p>
    <w:p w14:paraId="53920CF6" w14:textId="77777777" w:rsidR="00685A78" w:rsidRDefault="00685A78">
      <w:r>
        <w:t xml:space="preserve">• Информация о деятельности СМП обобщается в регистре бухгалтерского учета - Книга бухгалтерского учета (УС), открываемой на ……… (месяц, квартал, отчетный год); </w:t>
      </w:r>
    </w:p>
    <w:p w14:paraId="41686ED7" w14:textId="77777777" w:rsidR="00685A78" w:rsidRDefault="00685A78">
      <w:r>
        <w:t xml:space="preserve">• бухгалтерская (финансовая) отчетность составляется в установленном порядке по упрощенным формам, определяемым СМП на основе образцов, приведенных в приложениях № 6 - № 9 к ФСБУ 4/2023 «Бухгалтерская (финансовая) отчетность»; </w:t>
      </w:r>
    </w:p>
    <w:p w14:paraId="1457503F" w14:textId="2508105C" w:rsidR="00685A78" w:rsidRDefault="00685A78">
      <w:r>
        <w:t>• инвентаризация активов и обязательств проводится:</w:t>
      </w:r>
    </w:p>
    <w:p w14:paraId="31B21BEE" w14:textId="64C47B14" w:rsidR="00685A78" w:rsidRDefault="00685A78" w:rsidP="001E2A9E">
      <w:pPr>
        <w:pStyle w:val="a3"/>
        <w:numPr>
          <w:ilvl w:val="0"/>
          <w:numId w:val="2"/>
        </w:numPr>
      </w:pPr>
      <w:r>
        <w:t xml:space="preserve">перед составлением годовой бухгалтерской (финансовой) отчетности по состоянию на 31 декабря отчетного года; </w:t>
      </w:r>
    </w:p>
    <w:p w14:paraId="57C8BAA0" w14:textId="404F551D" w:rsidR="00685A78" w:rsidRDefault="00685A78" w:rsidP="001E2A9E">
      <w:pPr>
        <w:pStyle w:val="a3"/>
        <w:numPr>
          <w:ilvl w:val="0"/>
          <w:numId w:val="2"/>
        </w:numPr>
      </w:pPr>
      <w:r>
        <w:t xml:space="preserve">при смене материально ответственных лиц; </w:t>
      </w:r>
    </w:p>
    <w:p w14:paraId="54B370AD" w14:textId="77BD27F6" w:rsidR="00685A78" w:rsidRDefault="00685A78" w:rsidP="001E2A9E">
      <w:pPr>
        <w:pStyle w:val="a3"/>
        <w:numPr>
          <w:ilvl w:val="0"/>
          <w:numId w:val="2"/>
        </w:numPr>
      </w:pPr>
      <w:r>
        <w:t xml:space="preserve">при выявлении фактов хищения, злоупотребления или порчи имущества; </w:t>
      </w:r>
    </w:p>
    <w:p w14:paraId="43DDD37D" w14:textId="21578916" w:rsidR="00685A78" w:rsidRDefault="00685A78" w:rsidP="001E2A9E">
      <w:pPr>
        <w:pStyle w:val="a3"/>
        <w:numPr>
          <w:ilvl w:val="0"/>
          <w:numId w:val="2"/>
        </w:numPr>
      </w:pPr>
      <w:r>
        <w:t xml:space="preserve">в случае стихийного бедствия, пожара или других чрезвычайных ситуаций, вызванных экстремальными условиями; </w:t>
      </w:r>
    </w:p>
    <w:p w14:paraId="21D5BDF6" w14:textId="5842B7C0" w:rsidR="00685A78" w:rsidRDefault="00685A78" w:rsidP="001E2A9E">
      <w:pPr>
        <w:pStyle w:val="a3"/>
        <w:numPr>
          <w:ilvl w:val="0"/>
          <w:numId w:val="2"/>
        </w:numPr>
      </w:pPr>
      <w:r>
        <w:t xml:space="preserve">при реорганизации или ликвидации СМП; </w:t>
      </w:r>
    </w:p>
    <w:p w14:paraId="38C63B2F" w14:textId="77777777" w:rsidR="00685A78" w:rsidRDefault="00685A78">
      <w:r>
        <w:t xml:space="preserve">• СМП не применяет следующие федеральные стандарты: ПБУ 2/2008, ПБУ 8/2010, ПБУ 11/2008, ПБУ 12/2010, ПБУ 16/02, ПБУ 18/02; </w:t>
      </w:r>
    </w:p>
    <w:p w14:paraId="4C4E9734" w14:textId="77777777" w:rsidR="001E2A9E" w:rsidRDefault="00685A78">
      <w:r>
        <w:t xml:space="preserve">• последствия изменения учетной политики отражаются в бухгалтерской (финансовой) отчетности перспективно, за исключением случаев, когда иной порядок установлен законодательством Российской Федерации и (или) нормативным правовым актом по бухгалтерскому учету; </w:t>
      </w:r>
    </w:p>
    <w:p w14:paraId="3ACA72BA" w14:textId="3AAAFA3C" w:rsidR="00685A78" w:rsidRDefault="00685A78">
      <w:r>
        <w:t>• существенные ошибки предшествующего отчетного года, выявленные после утверждения бухгалтерской (финансовой) отчетности за этот год, исправляются без ретроспективного пересчета с включением прибыли или убытка, возникших в результате исправления указанной ошибки, в состав прочих доходов или расходов текущего отчетного периода;</w:t>
      </w:r>
    </w:p>
    <w:p w14:paraId="1AC853C1" w14:textId="77777777" w:rsidR="001E2A9E" w:rsidRDefault="00685A78">
      <w:r>
        <w:lastRenderedPageBreak/>
        <w:t xml:space="preserve">• затраты на приобретение, создание активов, характеризующихся одновременно признаками основного средства, но имеющих стоимость ниже лимита в сумме _____ рублей, установленного СМП с учетом существенности информации о таких активах, признаются расходами периода, в котором они понесены; </w:t>
      </w:r>
    </w:p>
    <w:p w14:paraId="02214CE0" w14:textId="77777777" w:rsidR="001E2A9E" w:rsidRDefault="00685A78">
      <w:r>
        <w:t xml:space="preserve">• в стоимость капитальных вложений включаются только уплаченные и (или) подлежащие уплате организацией поставщику (продавцу, подрядчику) при осуществлении капитальных вложений суммы за вычетом возмещаемых налогов и сборов (без учета всех скидок, уступок, вычетов, премий, льгот, предоставляемых организации, вне зависимости от формы их предоставления, равно как без дисконтирования в случае отсрочки (рассрочки) платежа на период, превышающий 12 месяцев. Иные затраты на приобретение, создание, улучшение объектов основных средств, а также на восстановление объектов основных средств включаются в состав расходов по обычным видам деятельности в полной сумме в том периоде, в котором они были понесены; </w:t>
      </w:r>
    </w:p>
    <w:p w14:paraId="4C60B35F" w14:textId="77777777" w:rsidR="001E2A9E" w:rsidRDefault="00685A78">
      <w:r>
        <w:t xml:space="preserve">• при осуществлении капитальных вложений по договорам, предусматривающим оплату неденежными средствами, фактические затраты при признании капитальных вложений признаются в размере балансовой стоимости передаваемых активов, фактических затрат, понесенных на выполнение работ, оказание услуг; </w:t>
      </w:r>
    </w:p>
    <w:p w14:paraId="63E3E4DF" w14:textId="77777777" w:rsidR="001E2A9E" w:rsidRDefault="00685A78">
      <w:r>
        <w:t xml:space="preserve">• проверка капитальных вложений, основных средств на обесценение не проводится; </w:t>
      </w:r>
    </w:p>
    <w:p w14:paraId="25F0EB5B" w14:textId="77777777" w:rsidR="001E2A9E" w:rsidRDefault="00685A78">
      <w:r>
        <w:t xml:space="preserve">• после признания объект основных средств оценивается по первоначальной стоимости (не применяется способ оценки по переоцененной стоимости); </w:t>
      </w:r>
    </w:p>
    <w:p w14:paraId="5C0698F2" w14:textId="77777777" w:rsidR="001E2A9E" w:rsidRDefault="00685A78">
      <w:r>
        <w:t>• годовая сумма амортизации основных средств начисляется единовременно по состоянию на 31 декабря отчетного года способом ……</w:t>
      </w:r>
      <w:proofErr w:type="gramStart"/>
      <w:r>
        <w:t>…….</w:t>
      </w:r>
      <w:proofErr w:type="gramEnd"/>
      <w:r>
        <w:t xml:space="preserve">. (линейным, уменьшаемого остатка, пропорционально количеству продукции (объему работ в натуральном выражении)); </w:t>
      </w:r>
    </w:p>
    <w:p w14:paraId="4EA8F3CB" w14:textId="77777777" w:rsidR="001E2A9E" w:rsidRDefault="00685A78">
      <w:r>
        <w:t xml:space="preserve">• затраты на приобретение запасов, предназначенных для управленческих нужд, признаются расходом периода, в котором были понесены; </w:t>
      </w:r>
    </w:p>
    <w:p w14:paraId="3055519B" w14:textId="77777777" w:rsidR="001E2A9E" w:rsidRDefault="00685A78">
      <w:r>
        <w:t>• себестоимость приобретенных запасов определяется в размере сумм, уплаченных и (или) подлежащих уплате (без всех скидок, уступок, вычетов, премий, льгот, предоставляемых организации, равно как без дисконтирования в случае отсрочки (рассрочки) платежа на период, превышающий 12 месяцев). При этом иные затраты,</w:t>
      </w:r>
      <w:r w:rsidRPr="00685A78">
        <w:t xml:space="preserve"> </w:t>
      </w:r>
      <w:r>
        <w:t xml:space="preserve">непосредственно связанные с приобретением запасов, включаются в состав расходов по обычным видам деятельности в полной сумме в том периоде, в котором они были понесены; </w:t>
      </w:r>
    </w:p>
    <w:p w14:paraId="2FF54BBB" w14:textId="77777777" w:rsidR="001E2A9E" w:rsidRDefault="00685A78">
      <w:r>
        <w:t xml:space="preserve">• фактическая себестоимость запасов, приобретенных по договорам, предусматривающим оплату неденежными средствами, признается в размере балансовой стоимости передаваемых активов, фактических затрат, понесенных на выполнение работ, оказание услуг; </w:t>
      </w:r>
    </w:p>
    <w:p w14:paraId="3B402FB4" w14:textId="77777777" w:rsidR="001E2A9E" w:rsidRDefault="00685A78">
      <w:r>
        <w:t xml:space="preserve">• оценка запасов на отчетную дату производится по фактической себестоимости; </w:t>
      </w:r>
    </w:p>
    <w:p w14:paraId="58C99032" w14:textId="77777777" w:rsidR="001E2A9E" w:rsidRDefault="00685A78">
      <w:r>
        <w:t xml:space="preserve">• затраты на приобретение, создание, улучшение объектов, которые подлежат принятию к бухгалтерскому учету в качестве нематериальных активов, признаются в составе расходов по обычным видам деятельности в полной сумме по мере их осуществления; </w:t>
      </w:r>
    </w:p>
    <w:p w14:paraId="6B160B6A" w14:textId="77777777" w:rsidR="001E2A9E" w:rsidRDefault="00685A78">
      <w:r>
        <w:t xml:space="preserve">• все расходы по займам признаются прочими расходами; </w:t>
      </w:r>
    </w:p>
    <w:p w14:paraId="5E6C653E" w14:textId="47ADA169" w:rsidR="00685A78" w:rsidRDefault="00685A78">
      <w:r>
        <w:t>• затраты (кроме сумм, уплачиваемых в соответствии с договором продавцу) на приобретение финансовых вложений в виде ценных бумаг в случае их несущественности по сравнению с суммой, уплачиваемой в соответствии с договором продавцу, признаются прочими расходами в том отчетном периоде, в котором были приняты к бухгалтерскому учету указанные ценные бумаги;</w:t>
      </w:r>
    </w:p>
    <w:p w14:paraId="4A69B9DA" w14:textId="77777777" w:rsidR="001E2A9E" w:rsidRDefault="00685A78">
      <w:r>
        <w:lastRenderedPageBreak/>
        <w:t xml:space="preserve">• последующая оценка всех финансовых вложений определяется в порядке, установленном для финансовых вложений, по которым их текущая рыночная стоимость не определяется; </w:t>
      </w:r>
    </w:p>
    <w:p w14:paraId="3D4EA40E" w14:textId="77777777" w:rsidR="001E2A9E" w:rsidRDefault="00685A78">
      <w:r>
        <w:t xml:space="preserve">• в случае выполнения условий, установленных пунктом 12 ФСБУ 25/2018 «Бухгалтерский учет аренды», арендованное имущество не признается в качестве права пользования активом и, соответственно, не признается обязательство по аренде; </w:t>
      </w:r>
    </w:p>
    <w:p w14:paraId="34C4AAA0" w14:textId="77777777" w:rsidR="001E2A9E" w:rsidRDefault="00685A78">
      <w:r>
        <w:t xml:space="preserve">• при невыполнении условий, установленных пунктом 12 ФСБУ 25/2018 «Бухгалтерский учет аренды», фактическая стоимость права пользования активом включает только величину первоначальной оценки обязательства по аренде и арендные платежи, осуществленные на дату предоставления предмета аренды или до такой даты. При этом иные затраты, понесенные в связи с поступлением предмета аренды и приведением его в состояние, пригодное для использования в запланированных целях, признаются расходами периода, в котором были понесены, а обязательство по аренде оценивается как сумма номинальных величин будущих арендных платежей на дату этой оценки; </w:t>
      </w:r>
    </w:p>
    <w:p w14:paraId="62FB6B7B" w14:textId="77777777" w:rsidR="001E2A9E" w:rsidRDefault="00685A78">
      <w:r>
        <w:t xml:space="preserve">• предоставленное в аренду имущество классифицируется в качестве объекта учета операционной аренды, за исключением случаев, указанных в подпунктах «а» и «б» пункта 25 ФСБУ 25/2018 «Бухгалтерский учет аренды»; </w:t>
      </w:r>
    </w:p>
    <w:p w14:paraId="4773F03E" w14:textId="77777777" w:rsidR="001E2A9E" w:rsidRDefault="00685A78">
      <w:r>
        <w:t xml:space="preserve">• выручка признается по мере передачи прав владения, пользования и распоряжения на поставленную продукцию, отпущенный товар, выполненную работу, оказанную услугу; </w:t>
      </w:r>
    </w:p>
    <w:p w14:paraId="23D670BE" w14:textId="62573AB4" w:rsidR="00685A78" w:rsidRDefault="00685A78">
      <w:r>
        <w:t>• текущие обязательства по налогам и страховым взносам отражаются в бухгалтерском учете на основании данных, определяемых в соответствии с учетной политикой по налогообложению.</w:t>
      </w:r>
    </w:p>
    <w:sectPr w:rsidR="0068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D5D"/>
    <w:multiLevelType w:val="hybridMultilevel"/>
    <w:tmpl w:val="689A65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D6CA4"/>
    <w:multiLevelType w:val="hybridMultilevel"/>
    <w:tmpl w:val="3B4AF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78"/>
    <w:rsid w:val="001E2A9E"/>
    <w:rsid w:val="00685A78"/>
    <w:rsid w:val="009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6956"/>
  <w15:chartTrackingRefBased/>
  <w15:docId w15:val="{9F7574E9-3DDE-4AE0-AEF1-F2AEFF9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Kontur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Мария Владимировна</dc:creator>
  <cp:keywords/>
  <dc:description/>
  <cp:lastModifiedBy>Устинова Мария Владимировна</cp:lastModifiedBy>
  <cp:revision>1</cp:revision>
  <dcterms:created xsi:type="dcterms:W3CDTF">2025-08-29T06:46:00Z</dcterms:created>
  <dcterms:modified xsi:type="dcterms:W3CDTF">2025-08-29T06:59:00Z</dcterms:modified>
</cp:coreProperties>
</file>