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0"/>
        <w:jc w:val="center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СОГЛАШЕНИЕ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720"/>
        <w:jc w:val="center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об информационном взаимодействии между Главным управлением Министерства внутренних дел Российской Федерации по городу Москве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720"/>
        <w:jc w:val="center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Обществом с ограниченной ответственностью «…..»/Индивидуальным предпринимателем (ФИО полностью) (гостиница/хостел/отель «….»)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jc w:val="center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ри направлении с использованием инфраструктуры, обеспечивающей информационно-технологическое</w:t>
      </w:r>
      <w:r>
        <w:rPr>
          <w:rFonts w:ascii="Times New Roman" w:hAnsi="Times New Roman" w:cs="Times New Roman"/>
          <w:sz w:val="26"/>
          <w:szCs w:val="26"/>
        </w:rPr>
        <w:t xml:space="preserve"> взаимодействие информационных</w:t>
      </w:r>
      <w:r>
        <w:rPr>
          <w:rFonts w:ascii="Times New Roman" w:hAnsi="Times New Roman" w:cs="Times New Roman"/>
          <w:sz w:val="26"/>
          <w:szCs w:val="26"/>
        </w:rPr>
        <w:t xml:space="preserve"> систем, используемых для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предоставления государственных и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 услуг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 исполнения государственных и муниципальных функций в электронной форме, информации о регистрации и снятии граждан Российской Федерации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с регистрационного учета по месту пребывания</w:t>
      </w:r>
      <w:r>
        <w:rPr>
          <w:rFonts w:ascii="Times New Roman" w:hAnsi="Times New Roman" w:cs="Times New Roman"/>
          <w:sz w:val="26"/>
          <w:szCs w:val="26"/>
        </w:rPr>
        <w:t xml:space="preserve">, а также сведений о прибытии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место пребывания и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убытии из места пребывания иностранных граждан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 лиц без гражданства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19"/>
        <w:jc w:val="both"/>
        <w:widowControl/>
        <w:tabs>
          <w:tab w:val="right" w:pos="963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9"/>
        <w:jc w:val="both"/>
        <w:widowControl/>
        <w:tabs>
          <w:tab w:val="right" w:pos="9639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Москва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____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 xml:space="preserve">25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18"/>
        <w:ind w:firstLine="54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Главное управление Министерства внутренних дел Российской Федерации по городу Москве (ГУ МВД России по г. Москве), далее именуемое «Оператор»,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br/>
        <w:t xml:space="preserve">в лице начальника Управления по вопросам миграции ГУ МВД России по г. Москве Сергиенко Дмитрия Владимировича, действующего на основании доверенности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br/>
        <w:t xml:space="preserve">от 2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декабря 202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года №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1/461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, ИНН 7707089101, КПП 770701001, находящееся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br/>
        <w:t xml:space="preserve">по адресу: 127994, г. Москва, ул. Петровка, д 38, с одной стороны, и </w:t>
      </w:r>
      <w:r>
        <w:rPr>
          <w:rFonts w:ascii="Times New Roman" w:hAnsi="Times New Roman"/>
          <w:bCs/>
          <w:sz w:val="26"/>
          <w:szCs w:val="26"/>
        </w:rPr>
        <w:t xml:space="preserve">Общество с ограниченной ответственностью «….»/Индивидуальный предприниматель (ФИО</w:t>
      </w:r>
      <w:r>
        <w:rPr>
          <w:rFonts w:ascii="Times New Roman" w:hAnsi="Times New Roman"/>
          <w:bCs/>
          <w:sz w:val="26"/>
          <w:szCs w:val="26"/>
        </w:rPr>
        <w:t xml:space="preserve">)</w:t>
      </w:r>
      <w:r>
        <w:rPr>
          <w:rFonts w:ascii="Times New Roman" w:hAnsi="Times New Roman"/>
          <w:bCs/>
          <w:sz w:val="26"/>
          <w:szCs w:val="26"/>
        </w:rPr>
        <w:t xml:space="preserve"> 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(хостел/отель/гостиница «…….»), </w:t>
      </w:r>
      <w:r>
        <w:rPr>
          <w:rFonts w:ascii="Times New Roman" w:hAnsi="Times New Roman"/>
          <w:bCs/>
          <w:sz w:val="26"/>
          <w:szCs w:val="26"/>
        </w:rPr>
        <w:t xml:space="preserve">ИНН</w:t>
      </w:r>
      <w:r>
        <w:rPr>
          <w:rFonts w:ascii="Times New Roman" w:hAnsi="Times New Roman"/>
          <w:bCs/>
          <w:sz w:val="26"/>
          <w:szCs w:val="26"/>
        </w:rPr>
        <w:t xml:space="preserve">/</w:t>
      </w:r>
      <w:r>
        <w:rPr>
          <w:rFonts w:ascii="Times New Roman" w:hAnsi="Times New Roman"/>
          <w:bCs/>
          <w:sz w:val="26"/>
          <w:szCs w:val="26"/>
        </w:rPr>
        <w:t xml:space="preserve">КПП</w:t>
      </w:r>
      <w:r>
        <w:rPr>
          <w:rFonts w:ascii="Times New Roman" w:hAnsi="Times New Roman"/>
          <w:bCs/>
          <w:sz w:val="26"/>
          <w:szCs w:val="26"/>
        </w:rPr>
        <w:t xml:space="preserve">/</w:t>
      </w:r>
      <w:r>
        <w:rPr>
          <w:rFonts w:ascii="Times New Roman" w:hAnsi="Times New Roman"/>
          <w:bCs/>
          <w:sz w:val="26"/>
          <w:szCs w:val="26"/>
        </w:rPr>
        <w:t xml:space="preserve">ОГРН/ОГРНИП,</w:t>
      </w:r>
      <w:r>
        <w:rPr>
          <w:rFonts w:ascii="Times New Roman" w:hAnsi="Times New Roman"/>
          <w:bCs/>
          <w:sz w:val="26"/>
          <w:szCs w:val="26"/>
        </w:rPr>
        <w:t xml:space="preserve"> (для ИП) </w:t>
      </w:r>
      <w:r>
        <w:rPr>
          <w:rFonts w:ascii="Times New Roman" w:hAnsi="Times New Roman"/>
          <w:bCs/>
          <w:sz w:val="26"/>
          <w:szCs w:val="26"/>
        </w:rPr>
        <w:t xml:space="preserve"> паспорт серия …№…выдан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bCs/>
          <w:sz w:val="26"/>
          <w:szCs w:val="26"/>
        </w:rPr>
        <w:t xml:space="preserve">дата, кем</w:t>
      </w:r>
      <w:r>
        <w:rPr>
          <w:rFonts w:ascii="Times New Roman" w:hAnsi="Times New Roman"/>
          <w:bCs/>
          <w:sz w:val="26"/>
          <w:szCs w:val="26"/>
        </w:rPr>
        <w:t xml:space="preserve">)</w:t>
      </w:r>
      <w:r>
        <w:rPr>
          <w:rFonts w:ascii="Times New Roman" w:hAnsi="Times New Roman"/>
          <w:bCs/>
          <w:sz w:val="26"/>
          <w:szCs w:val="26"/>
        </w:rPr>
        <w:t xml:space="preserve">,</w:t>
      </w:r>
      <w:r>
        <w:rPr>
          <w:rFonts w:ascii="Times New Roman" w:hAnsi="Times New Roman"/>
          <w:bCs/>
          <w:sz w:val="26"/>
          <w:szCs w:val="26"/>
        </w:rPr>
        <w:t xml:space="preserve"> юридический адрес</w:t>
      </w:r>
      <w:r>
        <w:rPr>
          <w:rFonts w:ascii="Times New Roman" w:hAnsi="Times New Roman"/>
          <w:bCs/>
          <w:sz w:val="26"/>
          <w:szCs w:val="26"/>
        </w:rPr>
        <w:t xml:space="preserve"> (для ООО)</w:t>
      </w:r>
      <w:r>
        <w:rPr>
          <w:rFonts w:ascii="Times New Roman" w:hAnsi="Times New Roman"/>
          <w:bCs/>
          <w:sz w:val="26"/>
          <w:szCs w:val="26"/>
        </w:rPr>
        <w:t xml:space="preserve">/адрес регистрации</w:t>
      </w:r>
      <w:r>
        <w:rPr>
          <w:rFonts w:ascii="Times New Roman" w:hAnsi="Times New Roman"/>
          <w:bCs/>
          <w:sz w:val="26"/>
          <w:szCs w:val="26"/>
        </w:rPr>
        <w:t xml:space="preserve"> по месту жительства (для ИП)</w:t>
      </w:r>
      <w:r>
        <w:rPr>
          <w:rFonts w:ascii="Times New Roman" w:hAnsi="Times New Roman"/>
          <w:bCs/>
          <w:sz w:val="26"/>
          <w:szCs w:val="26"/>
        </w:rPr>
        <w:t xml:space="preserve">…, адрес</w:t>
      </w:r>
      <w:r>
        <w:rPr>
          <w:rFonts w:ascii="Times New Roman" w:hAnsi="Times New Roman"/>
          <w:bCs/>
          <w:sz w:val="26"/>
          <w:szCs w:val="26"/>
        </w:rPr>
        <w:t xml:space="preserve"> предоставления гостиничных услуг</w:t>
      </w:r>
      <w:r>
        <w:rPr>
          <w:rFonts w:ascii="Times New Roman" w:hAnsi="Times New Roman"/>
          <w:bCs/>
          <w:sz w:val="26"/>
          <w:szCs w:val="26"/>
        </w:rPr>
        <w:t xml:space="preserve">: …., далее именуемое (ый) «Поставщик», в лице</w:t>
      </w:r>
      <w:r>
        <w:rPr>
          <w:rFonts w:ascii="Times New Roman" w:hAnsi="Times New Roman"/>
          <w:bCs/>
          <w:sz w:val="26"/>
          <w:szCs w:val="26"/>
        </w:rPr>
        <w:t xml:space="preserve"> (для ООО)</w:t>
      </w:r>
      <w:r>
        <w:rPr>
          <w:rFonts w:ascii="Times New Roman" w:hAnsi="Times New Roman"/>
          <w:bCs/>
          <w:sz w:val="26"/>
          <w:szCs w:val="26"/>
        </w:rPr>
        <w:t xml:space="preserve"> генерального директора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bCs/>
          <w:sz w:val="26"/>
          <w:szCs w:val="26"/>
        </w:rPr>
        <w:t xml:space="preserve">ФИО</w:t>
      </w:r>
      <w:r>
        <w:rPr>
          <w:rFonts w:ascii="Times New Roman" w:hAnsi="Times New Roman"/>
          <w:bCs/>
          <w:sz w:val="26"/>
          <w:szCs w:val="26"/>
        </w:rPr>
        <w:t xml:space="preserve">)</w:t>
      </w:r>
      <w:r>
        <w:rPr>
          <w:rFonts w:ascii="Times New Roman" w:hAnsi="Times New Roman"/>
          <w:bCs/>
          <w:sz w:val="26"/>
          <w:szCs w:val="26"/>
        </w:rPr>
        <w:t xml:space="preserve">/</w:t>
      </w:r>
      <w:r>
        <w:rPr>
          <w:rFonts w:ascii="Times New Roman" w:hAnsi="Times New Roman"/>
          <w:bCs/>
          <w:sz w:val="26"/>
          <w:szCs w:val="26"/>
        </w:rPr>
        <w:t xml:space="preserve">(для ИП) </w:t>
      </w:r>
      <w:r>
        <w:rPr>
          <w:rFonts w:ascii="Times New Roman" w:hAnsi="Times New Roman"/>
          <w:bCs/>
          <w:sz w:val="26"/>
          <w:szCs w:val="26"/>
        </w:rPr>
        <w:t xml:space="preserve">ФИО, действующего на основании</w:t>
      </w:r>
      <w:r>
        <w:rPr>
          <w:rFonts w:ascii="Times New Roman" w:hAnsi="Times New Roman"/>
          <w:bCs/>
          <w:sz w:val="26"/>
          <w:szCs w:val="26"/>
        </w:rPr>
        <w:t xml:space="preserve"> (для ООО)</w:t>
      </w:r>
      <w:r>
        <w:rPr>
          <w:rFonts w:ascii="Times New Roman" w:hAnsi="Times New Roman"/>
          <w:bCs/>
          <w:sz w:val="26"/>
          <w:szCs w:val="26"/>
        </w:rPr>
        <w:t xml:space="preserve"> Устава, зарегистрированного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 МИФНС России №…  от …… /</w:t>
      </w:r>
      <w:r>
        <w:rPr>
          <w:rFonts w:ascii="Times New Roman" w:hAnsi="Times New Roman"/>
          <w:bCs/>
          <w:sz w:val="26"/>
          <w:szCs w:val="26"/>
        </w:rPr>
        <w:t xml:space="preserve"> (для ИП) </w:t>
      </w:r>
      <w:r>
        <w:rPr>
          <w:rFonts w:ascii="Times New Roman" w:hAnsi="Times New Roman"/>
          <w:bCs/>
          <w:sz w:val="26"/>
          <w:szCs w:val="26"/>
        </w:rPr>
        <w:t xml:space="preserve">записи в ЕГРИП №……от……,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с другой стороны, совместно именуемые «Стороны», заключили настоящее Соглашение о нижеследующем: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pStyle w:val="720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jc w:val="center"/>
        <w:spacing w:line="276" w:lineRule="auto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I. Общие положения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jc w:val="both"/>
        <w:spacing w:line="276" w:lineRule="auto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1.1.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Предметом настоящего Соглашения является взаимодействие Оператора 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Поставщика при направлении с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услуг 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исполнения государственных и муниципальных функций 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электронной форме, информации о регистрации и снятии граждан Российской Федерации с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регистрационного учета по месту пребывания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а также сведений 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прибытии в место пребывания и убытии из места пребывания иностранных граждан и лиц без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гражданства.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6"/>
          <w:sz w:val="27"/>
          <w:szCs w:val="27"/>
          <w:lang w:eastAsia="ru-RU"/>
        </w:rPr>
      </w:pPr>
      <w:r>
        <w:rPr>
          <w:rFonts w:ascii="Times New Roman" w:hAnsi="Times New Roman" w:eastAsia="Times New Roman"/>
          <w:bCs/>
          <w:spacing w:val="-6"/>
          <w:sz w:val="27"/>
          <w:szCs w:val="27"/>
          <w:lang w:eastAsia="ru-RU"/>
        </w:rPr>
        <w:t xml:space="preserve">1.2. Правовыми основаниями для взаимодействия Сторон являются:</w:t>
      </w:r>
      <w:r>
        <w:rPr>
          <w:rFonts w:ascii="Times New Roman" w:hAnsi="Times New Roman" w:eastAsia="Times New Roman"/>
          <w:bCs/>
          <w:spacing w:val="-6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6"/>
          <w:sz w:val="27"/>
          <w:szCs w:val="27"/>
          <w:lang w:eastAsia="ru-RU"/>
        </w:rPr>
      </w:pPr>
      <w:r>
        <w:rPr>
          <w:rFonts w:ascii="Times New Roman" w:hAnsi="Times New Roman" w:eastAsia="Times New Roman"/>
          <w:bCs/>
          <w:spacing w:val="-6"/>
          <w:sz w:val="27"/>
          <w:szCs w:val="27"/>
          <w:lang w:eastAsia="ru-RU"/>
        </w:rPr>
        <w:t xml:space="preserve">Закон Российской Федерации от 25 июня 1993 года № 5242-1 «О праве граждан Российской Федерации на свободу передвижения, выбор места пребывания и жительства в пределах Российской Федерации»; </w:t>
      </w:r>
      <w:r>
        <w:rPr>
          <w:rFonts w:ascii="Times New Roman" w:hAnsi="Times New Roman" w:eastAsia="Times New Roman"/>
          <w:bCs/>
          <w:spacing w:val="-6"/>
          <w:sz w:val="27"/>
          <w:szCs w:val="27"/>
          <w:lang w:eastAsia="ru-RU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Федеральный закон от 18 июля 2006 года № 109-ФЗ «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 миграционном учете иностранных граждан и лиц без гражданства 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Российской Федерации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Федеральный закон от 27 июля 2006 года № 152-ФЗ «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персональных данных»;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постановление Правительства Российской Федерации от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5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января 2015 г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ода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№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4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«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Правил формирования, ведения и использования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;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постановление Правительства Российской Федерации от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10 мая 2010 года №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310 «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Правил передачи сведений о прибытии в место пребывания и убытии из места пребывания иностранных граждан и лиц без гражданства с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использованием входящих в состав сети электросвязи средств связи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приказ</w:t>
      </w:r>
      <w:r>
        <w:rPr>
          <w:rFonts w:ascii="Times New Roman" w:hAnsi="Times New Roman"/>
          <w:sz w:val="26"/>
          <w:szCs w:val="26"/>
        </w:rPr>
        <w:t xml:space="preserve"> МВД России</w:t>
      </w:r>
      <w:r>
        <w:rPr>
          <w:rFonts w:ascii="Times New Roman" w:hAnsi="Times New Roman"/>
          <w:sz w:val="26"/>
          <w:szCs w:val="26"/>
        </w:rPr>
        <w:t xml:space="preserve"> от 9 июля 2018 года </w:t>
      </w:r>
      <w:r>
        <w:rPr>
          <w:rFonts w:ascii="Times New Roman" w:hAnsi="Times New Roman"/>
          <w:sz w:val="26"/>
          <w:szCs w:val="26"/>
        </w:rPr>
        <w:t xml:space="preserve">№ 435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Об утверждении Порядка представления администрациями го</w:t>
      </w:r>
      <w:r>
        <w:rPr>
          <w:rFonts w:ascii="Times New Roman" w:hAnsi="Times New Roman"/>
          <w:sz w:val="26"/>
          <w:szCs w:val="26"/>
        </w:rPr>
        <w:t xml:space="preserve">стиниц, санаториев, домов отдыха, пансионатов, кемпингов, туристских баз, медицинских организаций или других подобных учреждений, учреждений уголовно-исполнительной системы, исполняющих наказания в виде лишения свободы или принудительных работ, информации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о регистрации и снятии граждан Российской Федерации с регистрационного учета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по месту пребывания в территориальные органы МВД России и Типовой формы соглашения об информационном взаимодействии</w:t>
      </w:r>
      <w:r>
        <w:rPr>
          <w:rFonts w:ascii="Times New Roman" w:hAnsi="Times New Roman"/>
          <w:sz w:val="26"/>
          <w:szCs w:val="26"/>
        </w:rPr>
        <w:t xml:space="preserve">»;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PMingLiU"/>
          <w:sz w:val="26"/>
          <w:szCs w:val="26"/>
          <w:lang w:eastAsia="ru-RU"/>
        </w:rPr>
      </w:pPr>
      <w:r>
        <w:rPr>
          <w:rFonts w:ascii="Times New Roman" w:hAnsi="Times New Roman" w:eastAsia="PMingLiU"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риказ МВД России от 10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 декабря 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2020 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года №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 856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Об утверждении Административного регламента М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Федерации, форм заявления иностранного гражданина или лица без гражданства </w:t>
      </w:r>
      <w:r>
        <w:rPr>
          <w:rFonts w:ascii="Times New Roman" w:hAnsi="Times New Roman" w:eastAsia="PMingLiU"/>
          <w:sz w:val="26"/>
          <w:szCs w:val="26"/>
          <w:lang w:eastAsia="ru-RU"/>
        </w:rPr>
        <w:br/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о регистрации по месту жительства, заявления о снятии иностранного гражданина или лица без гражданства с регистрации по месту жительства, уведомления </w:t>
      </w:r>
      <w:r>
        <w:rPr>
          <w:rFonts w:ascii="Times New Roman" w:hAnsi="Times New Roman" w:eastAsia="PMingLiU"/>
          <w:sz w:val="26"/>
          <w:szCs w:val="26"/>
          <w:lang w:eastAsia="ru-RU"/>
        </w:rPr>
        <w:br/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о прибытии иностранного гражданина или лица без гражданства в место пребывания, отметок о регистрации (снятии с регистрации) иностранного гражданина или лица без гражданства по месту жительства, отметок о подтверждении выполн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ения принимающей стороной и иностранным гражданином или лицом без гражданства действий, необходимых для его постановки на учет по месту пребывания, проставляемых, в том числе, многофункциональным центром предоставления государственных и муниципальных услуг</w:t>
      </w:r>
      <w:r>
        <w:rPr>
          <w:rFonts w:ascii="Times New Roman" w:hAnsi="Times New Roman" w:eastAsia="PMingLiU"/>
          <w:sz w:val="26"/>
          <w:szCs w:val="26"/>
          <w:lang w:eastAsia="ru-RU"/>
        </w:rPr>
        <w:t xml:space="preserve">».</w:t>
      </w:r>
      <w:r>
        <w:rPr>
          <w:rFonts w:ascii="Times New Roman" w:hAnsi="Times New Roman" w:eastAsia="PMingLiU"/>
          <w:sz w:val="26"/>
          <w:szCs w:val="26"/>
          <w:lang w:eastAsia="ru-RU"/>
        </w:rPr>
      </w:r>
    </w:p>
    <w:p>
      <w:pPr>
        <w:pStyle w:val="720"/>
        <w:jc w:val="center"/>
        <w:spacing w:line="276" w:lineRule="auto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jc w:val="center"/>
        <w:spacing w:line="276" w:lineRule="auto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II.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Взаимодействие Сторон</w:t>
      </w:r>
      <w:r>
        <w:rPr>
          <w:rFonts w:ascii="Times New Roman" w:hAnsi="Times New Roman" w:cs="Times New Roman"/>
          <w:sz w:val="26"/>
          <w:szCs w:val="26"/>
        </w:rPr>
        <w:t xml:space="preserve">. Режим и порядок информационного обмена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jc w:val="center"/>
        <w:spacing w:line="276" w:lineRule="auto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2.1.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Поставщик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направляет Оператору: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2.1.1. 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срок, не превышающий 1 дня со дня получения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оставщиком информации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сведения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о регистрации и снятии граждан Российской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Федерации с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регистрационного учета по месту пребывани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2.1.2. 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течение 1 рабочего дня со дня прибытия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сведения о прибытии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иностранного гражданина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или лица без гражданства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место пребывания, а в случае его прибытия в нерабочий день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–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течение следующего за ним 1 рабочего дня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2.1.3. 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е позднее 12 часов дня, следующего за днем убытия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сведения об убытии иностранного гражданина или лица без гражданства.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2.2.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Передача информации осуществляется с использованием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информационно-телекоммуникационных сетей, а также инфраструктуры, обеспечивающей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информационно-технологическое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взаимодействие информационных систем, используемых для предоставления государственных и муниципальных услуг 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исполнения государственных и муниципальных функций в электронной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форме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Использование инфраструктуры, обеспечивающей информационно-технологическое взаимодей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осуществляются в соответствии с требованиями законодательства Российской Федерации.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Адрес расположения программно-аппаратного комплекса должен соответствовать адресу фактического расположения организации, оказывающей гостиничные услуги.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2.2.1.</w:t>
      </w:r>
      <w:r>
        <w:rPr>
          <w:rFonts w:ascii="Times New Roman" w:hAnsi="Times New Roman"/>
          <w:b/>
          <w:sz w:val="26"/>
          <w:szCs w:val="26"/>
        </w:rPr>
        <w:t xml:space="preserve">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Передача информации осуществляется 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ОВМ ОМВД России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____________</w:t>
      </w:r>
      <w:r>
        <w:rPr>
          <w:rFonts w:ascii="Times New Roman" w:hAnsi="Times New Roman"/>
          <w:b/>
          <w:sz w:val="26"/>
          <w:szCs w:val="26"/>
        </w:rPr>
        <w:t xml:space="preserve">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г. Москвы.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720"/>
        <w:widowControl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26"/>
          <w:szCs w:val="26"/>
          <w:vertAlign w:val="subscript"/>
        </w:rPr>
        <w:t xml:space="preserve">(указывается район места нахождения средства размещения)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Условия взаимодействия при направлении информации в форме электронного документа:</w:t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2.3.1.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Информация в форме электронного документа предоставляется 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форматах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установленных интерактивными формами, размещенными на Едином портале государственных и муниципальных услуг.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2.3.2.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Электронный документ подписывается уполномоченным должностным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лицом Поставщика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____________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left="2127"/>
        <w:jc w:val="center"/>
        <w:widowControl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(фамилия, имя, отчество (при наличии) уполномоченного должностного лица Поставщика)</w:t>
      </w:r>
      <w:r>
        <w:rPr>
          <w:rFonts w:ascii="Times New Roman" w:hAnsi="Times New Roman" w:cs="Times New Roman"/>
          <w:b w:val="0"/>
          <w:sz w:val="18"/>
          <w:szCs w:val="18"/>
        </w:rPr>
      </w:r>
    </w:p>
    <w:p>
      <w:pPr>
        <w:pStyle w:val="720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с использованием усиленной квалифицированной электронной подписи</w:t>
      </w:r>
      <w:r>
        <w:rPr>
          <w:rStyle w:val="730"/>
          <w:rFonts w:ascii="Times New Roman" w:hAnsi="Times New Roman" w:cs="Times New Roman"/>
          <w:b w:val="0"/>
          <w:sz w:val="26"/>
          <w:szCs w:val="26"/>
        </w:rPr>
        <w:footnoteReference w:id="2"/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Наименование удостоверяющего центра,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выдавшего квалифицированный сертификат ключа проверки электронной подписи</w:t>
      </w:r>
      <w:r>
        <w:rPr>
          <w:rStyle w:val="730"/>
          <w:rFonts w:ascii="Times New Roman" w:hAnsi="Times New Roman" w:cs="Times New Roman"/>
          <w:b w:val="0"/>
          <w:sz w:val="26"/>
          <w:szCs w:val="26"/>
        </w:rPr>
        <w:footnoteReference w:id="3"/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– ________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widowControl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26"/>
          <w:szCs w:val="26"/>
          <w:vertAlign w:val="subscript"/>
        </w:rPr>
        <w:t xml:space="preserve">(указывается </w:t>
      </w:r>
      <w:r>
        <w:rPr>
          <w:rFonts w:ascii="Times New Roman" w:hAnsi="Times New Roman"/>
          <w:b w:val="0"/>
          <w:sz w:val="26"/>
          <w:szCs w:val="26"/>
          <w:vertAlign w:val="subscript"/>
        </w:rPr>
        <w:t xml:space="preserve">название удостоверяющего центра</w:t>
      </w:r>
      <w:r>
        <w:rPr>
          <w:rFonts w:ascii="Times New Roman" w:hAnsi="Times New Roman"/>
          <w:b w:val="0"/>
          <w:sz w:val="26"/>
          <w:szCs w:val="26"/>
          <w:vertAlign w:val="subscript"/>
        </w:rPr>
        <w:t xml:space="preserve">)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Срок действия сертификата электронной подписи с _________ по____________.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2.3.3. При организации информационного обмена Поставщик принимает меры, исключающие несанкционированный доступ к передаваемым данным.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2.3.4. В случае изменения форматов данных Оператор обязан проинформировать Поставщика о произошедших изменениях и предоставить описание последней версии форматов данных.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pacing w:val="-2"/>
          <w:sz w:val="26"/>
          <w:szCs w:val="26"/>
        </w:rPr>
      </w:pPr>
      <w:r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2.4. Стороны при реализации настоящего Соглашения будут принимать меры по:</w:t>
      </w:r>
      <w:r>
        <w:rPr>
          <w:rFonts w:ascii="Times New Roman" w:hAnsi="Times New Roman" w:cs="Times New Roman"/>
          <w:b w:val="0"/>
          <w:spacing w:val="-2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осуществлению контроля за выполнением положений настоящего Соглашения;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обеспечению достоверности и объективности предоставляемой информации и, при необходимости, оперативному внесению в нее уточнений;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предупреждению Поставщиком Оператора о невозможности своевременного предоставления информации с указанием причин;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использованию информации, предоставляемой Поставщиком, в соответствии с законодательством Российской Федерации.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2.5. Информация, переданная Поставщиком в соответствии с настоящим Соглашением, не подлежит разглашению и передаче третьим лицам, если иное не предусмотрено законодательством Российской Федерации.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jc w:val="center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III</w:t>
      </w:r>
      <w:r>
        <w:rPr>
          <w:rFonts w:ascii="Times New Roman" w:hAnsi="Times New Roman" w:cs="Times New Roman"/>
          <w:sz w:val="26"/>
          <w:szCs w:val="26"/>
        </w:rPr>
        <w:t xml:space="preserve">. Права и обязанности Сторон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3.1. Оператор вправе: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осуществлять контроль достоверности полученной информации;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осуществлять контроль за расположением программно-аппаратного комплекса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законодательством Российской Федерации ограничивать доступ к сведениям.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 Стороны информационного взаимодействия обязуются: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не производить действия, направленные на нарушение информационной безопасности (далее – деструктивные действия);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обеспечивать неотказуемость (невозможность отрицания факта отправления или получения передаваемой информации) сведений;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соблюдать требования информационной безопасности, принимать меры по предотвращению несанкционированного доступа к сведениям и средствам вычислительной техники при обработке информации;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соблюдать правила работы с информацией.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3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 Оператор обязан: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предоставлять сведения в соответствии с настоящим Соглашением;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уничтожать сведения в соответствии с установленным сроком хранения сведений</w:t>
      </w:r>
      <w:r>
        <w:rPr>
          <w:rStyle w:val="730"/>
          <w:rFonts w:ascii="Times New Roman" w:hAnsi="Times New Roman" w:cs="Times New Roman"/>
          <w:b w:val="0"/>
          <w:sz w:val="26"/>
          <w:szCs w:val="26"/>
        </w:rPr>
        <w:footnoteReference w:id="4"/>
      </w:r>
      <w:r>
        <w:rPr>
          <w:rFonts w:ascii="Times New Roman" w:hAnsi="Times New Roman" w:cs="Times New Roman"/>
          <w:b w:val="0"/>
          <w:sz w:val="26"/>
          <w:szCs w:val="26"/>
        </w:rPr>
        <w:t xml:space="preserve">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уведомлять Поставщика в течение месяца со дня принятия решения об изменении требований к передаваемым сведения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м, связанном с изданием актов Президента Российской Федерации и Правительства Российской Федерации, регламентирующих вопросы информационного взаимодействия Сторон. Изменение требований к передаваемым сведениям оформляется в виде дополнительного соглашения;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проводить постоянный мониторинг и анализ действий Поставщика при осуществлении информационного обмена;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обеспечивать своевременное обнаружение фактов несанкционированного доступа к информации;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случае выявления признаков нарушения поставщиком действующего законодательства в сфере миграции незамедлительно приостанавливать информационное взаимодействие на период проведения проверочных мероприятий;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прекращать (приостанавливать) информационное взаимодействие в соответствии с разделом IV настоящего Соглашения.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 Поставщик обязан: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соблюдать действующее законодательство Российской Федерации в сфере миграции;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своевременно передавать информацию;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случае установления недостоверности переданной им информации обеспечивать ее изменение;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обеспечивать доступ уполномоченных лиц Оператора к средствам вычислительной техники, на которых установлены средства криптографической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защиты информации;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устанавливать программно-аппаратный комплекс по адресу фактического расположения организации, оказывающей гостиничные услуги;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предоставлять Оператору открытую часть ключа электронной подписи до начала передачи сведений о гражданах Российской Федерации, иностранных граждан и лиц без гражданства, а также в иных случаях, предусмотренных настоящим Соглашением;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уведомлять Оператора об изготовлении сертификата ключа электронной подписи в случаях, предусмотренных настоящим Соглашением;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уведомлять Оператора об изменении количества койко-мест и номеров, </w:t>
      </w:r>
      <w:r>
        <w:rPr>
          <w:rFonts w:ascii="Times New Roman" w:hAnsi="Times New Roman" w:cs="Times New Roman"/>
          <w:b w:val="0"/>
          <w:sz w:val="26"/>
          <w:szCs w:val="26"/>
        </w:rPr>
        <w:br/>
        <w:t xml:space="preserve">а также иных фактических обстоятельствах, изложенных в настоящем Соглашении;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случаях сбоев в работе инфраструктуры, обеспечивающей информационно-технологическое взаимодействие информационных систем, используемых для предост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авления государственных и муниципальных услуг и исполнения государственных и муниципальных функций в электронной форме, передавать Оператору сведения в отношении граждан Российской Федерации, иностранных граждан и лиц без гражданства, на бумажном носителе.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jc w:val="center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IV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Приостановление информационного взаимодействия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4.1.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Стороны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незамедлительно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приостанавливают информационное взаимодействие 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следующих случаях: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 выявлении случаев несоблюдения Поставщиком действующего законодательства Российской Федерации в сфере миграции;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 обнаружении технических неисправностей в информационно-телекоммуникационных сетях, а также инфраструктуре;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 несоблюдении одной из Сторон требований к обмену информацией и (или) мер по обеспечению информационной безопасности при информационном взаимодействии, предусмотренных законодательством Российской Федерации и настоящим Соглашением;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 компрометации сертификата электронной подписи Поставщика;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 истечении срока действия, приостановлении действия или аннулировании</w:t>
      </w:r>
      <w:r>
        <w:rPr>
          <w:rFonts w:ascii="Times New Roman" w:hAnsi="Times New Roman" w:cs="Times New Roman"/>
          <w:b w:val="0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сертификата</w:t>
      </w:r>
      <w:r>
        <w:rPr>
          <w:rFonts w:ascii="Times New Roman" w:hAnsi="Times New Roman" w:cs="Times New Roman"/>
          <w:b w:val="0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электронной подписи Поставщика;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случае отсутствия на момент проверки по заявленному адресу программно-аппаратного комплекса организации, оказывающей гостиничные услуги, посредством которого осуществляется информационный обмен;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случае не уведомления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Поставщиком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Оператора об изменении количества койко-мест и номеров, а также иных фактических обстоятельствах, изложенных в настоящем Соглашении;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 возникновении обстоятельств непреодолимой силы.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.2.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 приостановлении информационного взаимодействи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 Сторона-инициатор направляет другой Стороне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письменное уведомление.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4.3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 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 период приостановления информационного взаимодействия </w:t>
      </w:r>
      <w:r>
        <w:rPr>
          <w:rFonts w:ascii="Times New Roman" w:hAnsi="Times New Roman" w:cs="Times New Roman"/>
          <w:b w:val="0"/>
          <w:sz w:val="26"/>
          <w:szCs w:val="26"/>
        </w:rPr>
        <w:br/>
        <w:t xml:space="preserve">в электронном виде Поставщик сведений передает Оператору сведения в отношении граждан Российской Федерации, иностранных граждан и лиц без гражданства на бумажном носителе.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4.4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Возобновление информационного взаимодействия между Сторонами </w:t>
      </w:r>
      <w:r>
        <w:rPr>
          <w:rFonts w:ascii="Times New Roman" w:hAnsi="Times New Roman" w:cs="Times New Roman"/>
          <w:b w:val="0"/>
          <w:sz w:val="26"/>
          <w:szCs w:val="26"/>
        </w:rPr>
        <w:br/>
        <w:t xml:space="preserve">в электронном виде производится на основании письменного уведомления Стороной-инициатором приостановления информационного взаимодействия другой Стороны о его возобновлении.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jc w:val="center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V</w:t>
      </w:r>
      <w:r>
        <w:rPr>
          <w:rFonts w:ascii="Times New Roman" w:hAnsi="Times New Roman" w:cs="Times New Roman"/>
          <w:sz w:val="26"/>
          <w:szCs w:val="26"/>
        </w:rPr>
        <w:t xml:space="preserve">. Ответственность Сторон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5.1. Стороны несут ответственность в порядке, установленном законодательством Российской Федерации: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за сохранность и конфиденциальность получаемой в рамках настоящего Соглашения информации и ее использование в целях, не предусмотренных Соглашением;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случае неправомерной передачи третьим лицам сведений, содержащихся в информационной системе, ключей шифрования и закрытых ключей электронной подписи;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случае компрометации ключей шифрования и закрытых ключей электронной подписи.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5.2. Оператор несет ответственность в случае утраты, несанкционированного уничтожения, изменения, исправления сведений, содержащихся в информационной системе.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5.3. Поставщик несет ответственность в случае: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несоблюдени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действующего законодательства Российской Федерации в сфере миграции;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несвоевременного предоставления или непредоставления сведений, определенных настоящим Соглашением, возникших по его вине;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предоставления недостоверных сведений и (или) сведений не в полном объеме;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постановки на миграционный учет иностранных граждан, превышающей фа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ктическое количество койко-мест;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нарушения правил обработки персональных данных, а также требований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br/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к защите персональных данных, установленных законодательством Российской Федерации, при использовании программного обеспечения.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pStyle w:val="720"/>
        <w:jc w:val="center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I</w:t>
      </w:r>
      <w:r>
        <w:rPr>
          <w:rFonts w:ascii="Times New Roman" w:hAnsi="Times New Roman" w:cs="Times New Roman"/>
          <w:sz w:val="26"/>
          <w:szCs w:val="26"/>
        </w:rPr>
        <w:t xml:space="preserve">. Порядок разрешения споров и расторжения Соглашения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6.1. Споры и разногласия, возникающие между Сторонами при реализации настоящего Соглашения, разрешаются путем переговоров.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6.2. В случаях, когда достижение взаимоприемлемых решений оказывается невозможным, спорные вопросы между Сторонами решаются в установленном законодательством Российской Федерации порядке.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6.3. Настоящее Согл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ашение может быть расторгнуто по инициативе любой из Сторон. Сторона, выступающая инициатором расторжения, обязана направить письменное уведомление о расторжении настоящего Соглашения не позднее чем за 30 (тридцать) дней до предполагаемой даты расторжения.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jc w:val="center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II</w:t>
      </w:r>
      <w:r>
        <w:rPr>
          <w:rFonts w:ascii="Times New Roman" w:hAnsi="Times New Roman" w:cs="Times New Roman"/>
          <w:sz w:val="26"/>
          <w:szCs w:val="26"/>
        </w:rPr>
        <w:t xml:space="preserve">. Срок действия Соглашения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7.1. Соглашение вступает в силу со дня его подписания Сторонами и действует в течение одного года, если иное не предусмотрено п. 7.2 Соглашения.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Со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глашение может быть продлено на каждый последующий год, если ни одна из Сторон не заявит о своем желании прекратить данное сотрудничество не позднее чем за два календарных месяца до окончания срока его действия, если иное не предусмотрено п.7.2 Соглашения.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7.2. В случае если срок представленного Поставщиком для заключения настоящего Соглаше</w:t>
      </w:r>
      <w:r>
        <w:rPr>
          <w:rFonts w:ascii="Times New Roman" w:hAnsi="Times New Roman"/>
          <w:sz w:val="26"/>
          <w:szCs w:val="26"/>
        </w:rPr>
        <w:t xml:space="preserve">ния договора владения (пользования) недвижимым имуществом, используемым в качестве средства размещения, составляет менее одного года, то Соглашение вступает в силу со дня его подписания Сторонами и действует                        до «__» ________ 20__ г. </w:t>
      </w:r>
      <w:r>
        <w:rPr>
          <w:rFonts w:ascii="Times New Roman" w:hAnsi="Times New Roman"/>
          <w:i/>
          <w:sz w:val="26"/>
          <w:szCs w:val="26"/>
        </w:rPr>
        <w:t xml:space="preserve">(указывается срок владения (пользования) недвижимым имуществом, указанный в договоре).</w:t>
      </w:r>
      <w:r>
        <w:rPr>
          <w:rFonts w:ascii="Times New Roman" w:hAnsi="Times New Roman"/>
          <w:i/>
          <w:sz w:val="26"/>
          <w:szCs w:val="26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</w:t>
      </w:r>
      <w:r>
        <w:rPr>
          <w:rFonts w:ascii="Times New Roman" w:hAnsi="Times New Roman"/>
          <w:sz w:val="26"/>
          <w:szCs w:val="26"/>
        </w:rPr>
        <w:t xml:space="preserve">ашение считается продленным, если ни одна из Сторон не заявит о своем желании прекратить данное сотрудничество не позднее чем за два календарных месяца до окончания срока его действия, путём заключения дополнительного соглашения между Сторонами с представл</w:t>
      </w:r>
      <w:r>
        <w:rPr>
          <w:rFonts w:ascii="Times New Roman" w:hAnsi="Times New Roman"/>
          <w:sz w:val="26"/>
          <w:szCs w:val="26"/>
        </w:rPr>
        <w:t xml:space="preserve">ением Поставщиком нового договора владения (пользования) недвижимым имуществом, используемым в качестве средства размещения, или иных документов, подтверждающих продление ранее заключенного Поставщиком договора владения (пользования) недвижимым имуществом.</w:t>
      </w:r>
      <w:r>
        <w:rPr>
          <w:rFonts w:ascii="Times New Roman" w:hAnsi="Times New Roman"/>
          <w:sz w:val="26"/>
          <w:szCs w:val="26"/>
        </w:rPr>
      </w:r>
    </w:p>
    <w:p>
      <w:pPr>
        <w:pStyle w:val="720"/>
        <w:jc w:val="center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II</w:t>
      </w:r>
      <w:r>
        <w:rPr>
          <w:rFonts w:ascii="Times New Roman" w:hAnsi="Times New Roman" w:cs="Times New Roman"/>
          <w:sz w:val="26"/>
          <w:szCs w:val="26"/>
        </w:rPr>
        <w:t xml:space="preserve">. Заключительные положения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8.1. Изменения в настоящее Соглашение вносятся по согласованию Сторон путем подписания дополнительного соглашения.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8.2. Взаимодействие в рамках настоящего Соглашения осуществляется на безвозмездной основе.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720"/>
        <w:ind w:firstLine="709"/>
        <w:jc w:val="both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8.3. Соглашение составлено в двух экземплярах, имеющих равную юридическую силу, по экземпляру для каждой Стороны.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val="en-US" w:eastAsia="ru-RU"/>
        </w:rPr>
        <w:t xml:space="preserve">IX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. Реквизиты и подписи Сторон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</w:p>
    <w:p>
      <w:pPr>
        <w:ind w:left="-1276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tbl>
      <w:tblPr>
        <w:tblW w:w="11306" w:type="dxa"/>
        <w:tblLayout w:type="fixed"/>
        <w:tblLook w:val="04A0" w:firstRow="1" w:lastRow="0" w:firstColumn="1" w:lastColumn="0" w:noHBand="0" w:noVBand="1"/>
      </w:tblPr>
      <w:tblGrid>
        <w:gridCol w:w="4928"/>
        <w:gridCol w:w="6378"/>
      </w:tblGrid>
      <w:tr>
        <w:tblPrEx/>
        <w:trPr>
          <w:trHeight w:val="1896"/>
        </w:trPr>
        <w:tc>
          <w:tcPr>
            <w:tcW w:w="4928" w:type="dxa"/>
            <w:textDirection w:val="lrTb"/>
            <w:noWrap w:val="false"/>
          </w:tcPr>
          <w:p>
            <w:pPr>
              <w:ind w:right="-568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Оператор:          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  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ГУ МВД России по г. Москве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127994, г. Москва, ул. Петровка, д. 38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ИНН 7707089101, КПП 770701001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по вопросам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играции ГУ МВД России по г. Москве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 Д.В. Сергиенко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right="-568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М.П.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right="-568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right="-568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right="-568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6378" w:type="dxa"/>
            <w:textDirection w:val="lrTb"/>
            <w:noWrap w:val="false"/>
          </w:tcPr>
          <w:p>
            <w:pPr>
              <w:ind w:left="38" w:hanging="146"/>
              <w:spacing w:after="0" w:line="240" w:lineRule="auto"/>
              <w:tabs>
                <w:tab w:val="left" w:pos="322" w:leader="none"/>
              </w:tabs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Поставщик: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32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Наименование юридического лица/ФИО Индивидуального предпринимателя: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Наименование средства размещения: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Юридический адрес/адрес регистрации: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дрес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предоставления гостиничных услуг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ОГРН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/ОГРНИП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Телефон: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 xml:space="preserve">e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6"/>
                <w:szCs w:val="26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Генеральный директор/Индивидуальный предприниматель (ФИО):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172" w:leader="none"/>
              </w:tabs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________________________ФИО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ind w:left="-108" w:right="1451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                                                            М.П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r>
          </w:p>
        </w:tc>
      </w:tr>
    </w:tbl>
    <w:p>
      <w:pPr>
        <w:pStyle w:val="718"/>
        <w:jc w:val="both"/>
        <w:widowControl/>
        <w:rPr>
          <w:rFonts w:ascii="Times New Roman" w:hAnsi="Times New Roman" w:cs="Times New Roman"/>
          <w:sz w:val="26"/>
          <w:szCs w:val="26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6"/>
          <w:szCs w:val="26"/>
        </w:rPr>
      </w:r>
    </w:p>
    <w:sectPr>
      <w:headerReference w:type="default" r:id="rId9"/>
      <w:footnotePr>
        <w:numRestart w:val="eachPage"/>
      </w:footnotePr>
      <w:endnotePr/>
      <w:type w:val="nextPage"/>
      <w:pgSz w:w="11906" w:h="16838" w:orient="portrait"/>
      <w:pgMar w:top="1134" w:right="567" w:bottom="851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Segoe UI">
    <w:panose1 w:val="020B0502040504020204"/>
  </w:font>
  <w:font w:name="PMingLiU">
    <w:panose1 w:val="0202060302010102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728"/>
        <w:spacing w:after="0" w:line="240" w:lineRule="auto"/>
        <w:rPr>
          <w:rFonts w:ascii="Times New Roman" w:hAnsi="Times New Roman"/>
        </w:rPr>
      </w:pPr>
      <w:r>
        <w:rPr>
          <w:rStyle w:val="730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Далее – «электронная подпись».</w:t>
      </w:r>
      <w:r>
        <w:rPr>
          <w:rFonts w:ascii="Times New Roman" w:hAnsi="Times New Roman"/>
        </w:rPr>
      </w:r>
    </w:p>
  </w:footnote>
  <w:footnote w:id="3">
    <w:p>
      <w:pPr>
        <w:pStyle w:val="728"/>
        <w:spacing w:after="0" w:line="240" w:lineRule="auto"/>
        <w:rPr>
          <w:rFonts w:ascii="Times New Roman" w:hAnsi="Times New Roman"/>
        </w:rPr>
      </w:pPr>
      <w:r>
        <w:rPr>
          <w:rStyle w:val="730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Далее – «сертификат электронной подписи».</w:t>
      </w:r>
      <w:r>
        <w:rPr>
          <w:rFonts w:ascii="Times New Roman" w:hAnsi="Times New Roman"/>
        </w:rPr>
      </w:r>
    </w:p>
  </w:footnote>
  <w:footnote w:id="4">
    <w:p>
      <w:pPr>
        <w:pStyle w:val="728"/>
        <w:jc w:val="both"/>
        <w:spacing w:after="0" w:line="240" w:lineRule="auto"/>
        <w:rPr>
          <w:rFonts w:ascii="Times New Roman" w:hAnsi="Times New Roman"/>
        </w:rPr>
      </w:pPr>
      <w:r>
        <w:rPr>
          <w:rStyle w:val="730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соответствии с разделом VI Положения о государственной информационной системе миграционного учета, утвержденного </w:t>
      </w:r>
      <w:r>
        <w:rPr>
          <w:rFonts w:ascii="Times New Roman" w:hAnsi="Times New Roman"/>
        </w:rPr>
        <w:t xml:space="preserve">п</w:t>
      </w:r>
      <w:r>
        <w:rPr>
          <w:rFonts w:ascii="Times New Roman" w:hAnsi="Times New Roman"/>
        </w:rPr>
        <w:t xml:space="preserve">остановлением Правительства Российской Федерации от 14 февраля 2007 г</w:t>
      </w:r>
      <w:r>
        <w:rPr>
          <w:rFonts w:ascii="Times New Roman" w:hAnsi="Times New Roman"/>
        </w:rPr>
        <w:t xml:space="preserve">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№</w:t>
      </w:r>
      <w:r>
        <w:rPr>
          <w:rFonts w:ascii="Times New Roman" w:hAnsi="Times New Roman"/>
        </w:rPr>
        <w:t xml:space="preserve"> 94 </w:t>
      </w:r>
      <w:r>
        <w:rPr>
          <w:rFonts w:ascii="Times New Roman" w:hAnsi="Times New Roman"/>
        </w:rPr>
        <w:t xml:space="preserve">«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 </w:t>
      </w:r>
      <w:r>
        <w:rPr>
          <w:rFonts w:ascii="Times New Roman" w:hAnsi="Times New Roman"/>
        </w:rPr>
        <w:t xml:space="preserve">государственной информационной системе миграционного учета</w:t>
      </w:r>
      <w:r>
        <w:rPr>
          <w:rFonts w:ascii="Times New Roman" w:hAnsi="Times New Roman"/>
        </w:rPr>
        <w:t xml:space="preserve">»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jc w:val="center"/>
      <w:spacing w:after="0" w:line="240" w:lineRule="auto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7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eachPage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PMingLiU" w:cs="Arial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5"/>
    <w:link w:val="71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3"/>
    <w:next w:val="71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3"/>
    <w:next w:val="71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3"/>
    <w:next w:val="71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3"/>
    <w:next w:val="71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3"/>
    <w:next w:val="71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3"/>
    <w:next w:val="71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3"/>
    <w:next w:val="71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3"/>
    <w:next w:val="71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3"/>
    <w:next w:val="71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5"/>
    <w:link w:val="34"/>
    <w:uiPriority w:val="10"/>
    <w:rPr>
      <w:sz w:val="48"/>
      <w:szCs w:val="48"/>
    </w:rPr>
  </w:style>
  <w:style w:type="paragraph" w:styleId="36">
    <w:name w:val="Subtitle"/>
    <w:basedOn w:val="713"/>
    <w:next w:val="71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5"/>
    <w:link w:val="36"/>
    <w:uiPriority w:val="11"/>
    <w:rPr>
      <w:sz w:val="24"/>
      <w:szCs w:val="24"/>
    </w:rPr>
  </w:style>
  <w:style w:type="paragraph" w:styleId="38">
    <w:name w:val="Quote"/>
    <w:basedOn w:val="713"/>
    <w:next w:val="71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3"/>
    <w:next w:val="71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5"/>
    <w:link w:val="723"/>
    <w:uiPriority w:val="99"/>
  </w:style>
  <w:style w:type="character" w:styleId="45">
    <w:name w:val="Footer Char"/>
    <w:basedOn w:val="715"/>
    <w:link w:val="725"/>
    <w:uiPriority w:val="99"/>
  </w:style>
  <w:style w:type="paragraph" w:styleId="46">
    <w:name w:val="Caption"/>
    <w:basedOn w:val="713"/>
    <w:next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5"/>
    <w:uiPriority w:val="99"/>
  </w:style>
  <w:style w:type="table" w:styleId="49">
    <w:name w:val="Table Grid Light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28"/>
    <w:uiPriority w:val="99"/>
    <w:rPr>
      <w:sz w:val="18"/>
    </w:rPr>
  </w:style>
  <w:style w:type="paragraph" w:styleId="178">
    <w:name w:val="endnote text"/>
    <w:basedOn w:val="71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5"/>
    <w:uiPriority w:val="99"/>
    <w:semiHidden/>
    <w:unhideWhenUsed/>
    <w:rPr>
      <w:vertAlign w:val="superscript"/>
    </w:rPr>
  </w:style>
  <w:style w:type="paragraph" w:styleId="181">
    <w:name w:val="toc 1"/>
    <w:basedOn w:val="713"/>
    <w:next w:val="71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3"/>
    <w:next w:val="71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3"/>
    <w:next w:val="71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3"/>
    <w:next w:val="71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3"/>
    <w:next w:val="71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3"/>
    <w:next w:val="71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3"/>
    <w:next w:val="71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3"/>
    <w:next w:val="71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3"/>
    <w:next w:val="71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3"/>
    <w:next w:val="713"/>
    <w:uiPriority w:val="99"/>
    <w:unhideWhenUsed/>
    <w:pPr>
      <w:spacing w:after="0" w:afterAutospacing="0"/>
    </w:pPr>
  </w:style>
  <w:style w:type="paragraph" w:styleId="713" w:default="1">
    <w:name w:val="Normal"/>
    <w:qFormat/>
    <w:pPr>
      <w:spacing w:after="160" w:line="259" w:lineRule="auto"/>
    </w:pPr>
    <w:rPr>
      <w:rFonts w:eastAsia="Calibri" w:cs="Times New Roman"/>
      <w:sz w:val="22"/>
      <w:szCs w:val="22"/>
      <w:lang w:eastAsia="en-US"/>
    </w:rPr>
  </w:style>
  <w:style w:type="paragraph" w:styleId="714">
    <w:name w:val="Heading 1"/>
    <w:basedOn w:val="713"/>
    <w:link w:val="731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paragraph" w:styleId="718" w:customStyle="1">
    <w:name w:val="ConsPlusNormal"/>
    <w:pPr>
      <w:widowControl w:val="off"/>
    </w:pPr>
    <w:rPr>
      <w:rFonts w:ascii="Arial" w:hAnsi="Arial" w:eastAsia="Times New Roman"/>
    </w:rPr>
  </w:style>
  <w:style w:type="paragraph" w:styleId="719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paragraph" w:styleId="720" w:customStyle="1">
    <w:name w:val="ConsPlusTitle"/>
    <w:uiPriority w:val="99"/>
    <w:pPr>
      <w:widowControl w:val="off"/>
    </w:pPr>
    <w:rPr>
      <w:rFonts w:ascii="Arial" w:hAnsi="Arial" w:eastAsia="Times New Roman"/>
      <w:b/>
      <w:bCs/>
    </w:rPr>
  </w:style>
  <w:style w:type="paragraph" w:styleId="721">
    <w:name w:val="Balloon Text"/>
    <w:basedOn w:val="713"/>
    <w:link w:val="722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character" w:styleId="722" w:customStyle="1">
    <w:name w:val="Текст выноски Знак"/>
    <w:link w:val="721"/>
    <w:uiPriority w:val="99"/>
    <w:semiHidden/>
    <w:rPr>
      <w:rFonts w:ascii="Segoe UI" w:hAnsi="Segoe UI" w:eastAsia="Calibri" w:cs="Segoe UI"/>
      <w:sz w:val="18"/>
      <w:szCs w:val="18"/>
      <w:lang w:eastAsia="en-US"/>
    </w:rPr>
  </w:style>
  <w:style w:type="paragraph" w:styleId="723">
    <w:name w:val="Header"/>
    <w:basedOn w:val="713"/>
    <w:link w:val="72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4" w:customStyle="1">
    <w:name w:val="Верхний колонтитул Знак"/>
    <w:link w:val="723"/>
    <w:uiPriority w:val="99"/>
    <w:rPr>
      <w:rFonts w:eastAsia="Calibri" w:cs="Times New Roman"/>
      <w:sz w:val="22"/>
      <w:szCs w:val="22"/>
      <w:lang w:eastAsia="en-US"/>
    </w:rPr>
  </w:style>
  <w:style w:type="paragraph" w:styleId="725">
    <w:name w:val="Footer"/>
    <w:basedOn w:val="713"/>
    <w:link w:val="726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726" w:customStyle="1">
    <w:name w:val="Нижний колонтитул Знак"/>
    <w:link w:val="725"/>
    <w:uiPriority w:val="99"/>
    <w:semiHidden/>
    <w:rPr>
      <w:rFonts w:eastAsia="Calibri" w:cs="Times New Roman"/>
      <w:sz w:val="22"/>
      <w:szCs w:val="22"/>
      <w:lang w:eastAsia="en-US"/>
    </w:rPr>
  </w:style>
  <w:style w:type="table" w:styleId="727">
    <w:name w:val="Table Grid"/>
    <w:basedOn w:val="716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28">
    <w:name w:val="footnote text"/>
    <w:basedOn w:val="713"/>
    <w:link w:val="729"/>
    <w:uiPriority w:val="99"/>
    <w:semiHidden/>
    <w:unhideWhenUsed/>
    <w:rPr>
      <w:sz w:val="20"/>
      <w:szCs w:val="20"/>
    </w:rPr>
  </w:style>
  <w:style w:type="character" w:styleId="729" w:customStyle="1">
    <w:name w:val="Текст сноски Знак"/>
    <w:link w:val="728"/>
    <w:uiPriority w:val="99"/>
    <w:semiHidden/>
    <w:rPr>
      <w:rFonts w:eastAsia="Calibri" w:cs="Times New Roman"/>
      <w:lang w:eastAsia="en-US"/>
    </w:rPr>
  </w:style>
  <w:style w:type="character" w:styleId="730">
    <w:name w:val="footnote reference"/>
    <w:uiPriority w:val="99"/>
    <w:semiHidden/>
    <w:unhideWhenUsed/>
    <w:rPr>
      <w:vertAlign w:val="superscript"/>
    </w:rPr>
  </w:style>
  <w:style w:type="character" w:styleId="731" w:customStyle="1">
    <w:name w:val="Заголовок 1 Знак"/>
    <w:basedOn w:val="715"/>
    <w:link w:val="714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732" w:customStyle="1">
    <w:name w:val="blk"/>
    <w:basedOn w:val="71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76FAB-E5E7-475D-AB90-9FC42442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Петрик Ирина Михайловна</cp:lastModifiedBy>
  <cp:revision>24</cp:revision>
  <dcterms:created xsi:type="dcterms:W3CDTF">2023-10-04T11:50:00Z</dcterms:created>
  <dcterms:modified xsi:type="dcterms:W3CDTF">2025-02-18T06:31:27Z</dcterms:modified>
</cp:coreProperties>
</file>