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нормативной и технической документации</w:t>
      </w:r>
    </w:p>
    <w:p w:rsidR="00000000" w:rsidDel="00000000" w:rsidP="00000000" w:rsidRDefault="00000000" w:rsidRPr="00000000" w14:paraId="00000002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С 7 января 2023 года действуют новые Правила технической эксплуатации электроустановок потребителей (ПТЭЭП), утвержденные Приказом Минэнерго РФ от 12.08.2022 № 811. Согласно п. 29 ПТЭЭП для структурных подразделений компании должны быть составлены </w:t>
      </w:r>
      <w:r w:rsidDel="00000000" w:rsidR="00000000" w:rsidRPr="00000000">
        <w:rPr>
          <w:b w:val="1"/>
          <w:rtl w:val="0"/>
        </w:rPr>
        <w:t xml:space="preserve">перечни технической документации</w:t>
      </w:r>
      <w:r w:rsidDel="00000000" w:rsidR="00000000" w:rsidRPr="00000000">
        <w:rPr>
          <w:rtl w:val="0"/>
        </w:rPr>
        <w:t xml:space="preserve">, объем которых зависит от участия в эксплуатации электроустановок. Указанные списки должны обновляться не реже чем раз в три года.</w:t>
      </w:r>
    </w:p>
    <w:p w:rsidR="00000000" w:rsidDel="00000000" w:rsidP="00000000" w:rsidRDefault="00000000" w:rsidRPr="00000000" w14:paraId="00000003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Приводим общий перечень документов, который должен быть у потребителей электроэнергии по новым Правилам. Его можно использовать для составления перечней по отделам и службам, дополнив, при необходимости, требованиями охраны труда и локальных актов компании.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Список документов довольно большой, но он составлен по общим требованиям в ПТЭЭП. Новые Правила содержат отсылки к нормативным актам, которые есть в перечне.</w:t>
      </w:r>
    </w:p>
    <w:p w:rsidR="00000000" w:rsidDel="00000000" w:rsidP="00000000" w:rsidRDefault="00000000" w:rsidRPr="00000000" w14:paraId="00000005">
      <w:pPr>
        <w:spacing w:after="200" w:before="20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Техническая документация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утвержденная в соответствии с градостроительным законодательством Российской Федерации проектная и рабочая документация на строительство (реконструкцию) электроустановок со всеми последующими изменениями;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акты комплексного опробования ЛЭП и оборудования и документы о приемке их в эксплуатацию;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 о технологическом присоединении, предусмотренные </w:t>
      </w:r>
      <w:hyperlink r:id="rId6">
        <w:r w:rsidDel="00000000" w:rsidR="00000000" w:rsidRPr="00000000">
          <w:rPr>
            <w:rtl w:val="0"/>
          </w:rPr>
          <w:t xml:space="preserve">Правилами</w:t>
        </w:r>
      </w:hyperlink>
      <w:r w:rsidDel="00000000" w:rsidR="00000000" w:rsidRPr="00000000">
        <w:rPr>
          <w:rtl w:val="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схемы электрических соединений и технологических систем, в том числе нормальные (временные нормальные) схемы электрических соединений электроустановок потребителя;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общие схемы электроснабжения для нормального режима, составленные по электрохозяйству потребителя в целом и по отдельным структурным подразделениям (филиалам);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журналы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технические паспорта ЛЭП, основного энергетического и электротехнического оборудования, зданий и сооружений;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документы, устанавливающие разделение прав, обязанностей и ответственности структурных подразделений (с учетом требований пункта 8 Правил) и персонала потребителя по эксплуатации, в том числе обслуживанию и контролю, электроустановок;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перечень ЛЭП, оборудования и устройств электроустановок с их распределением по способу технологического управления и ведения;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списки работников, указанные в пункте 12 Правил;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производственные инструкции по эксплуатации электроустановок и иные инструкции, разрабатываемые и утверждаемые потребителем в соответствии с пунктом 33, главами V - XII Правил, а также </w:t>
      </w:r>
      <w:hyperlink r:id="rId7">
        <w:r w:rsidDel="00000000" w:rsidR="00000000" w:rsidRPr="00000000">
          <w:rPr>
            <w:rtl w:val="0"/>
          </w:rPr>
          <w:t xml:space="preserve">Правилами</w:t>
        </w:r>
      </w:hyperlink>
      <w:r w:rsidDel="00000000" w:rsidR="00000000" w:rsidRPr="00000000">
        <w:rPr>
          <w:rtl w:val="0"/>
        </w:rPr>
        <w:t xml:space="preserve"> технической эксплуатации электрических станций и сетей, </w:t>
      </w:r>
      <w:hyperlink r:id="rId8">
        <w:r w:rsidDel="00000000" w:rsidR="00000000" w:rsidRPr="00000000">
          <w:rPr>
            <w:rtl w:val="0"/>
          </w:rPr>
          <w:t xml:space="preserve">Правилами</w:t>
        </w:r>
      </w:hyperlink>
      <w:r w:rsidDel="00000000" w:rsidR="00000000" w:rsidRPr="00000000">
        <w:rPr>
          <w:rtl w:val="0"/>
        </w:rPr>
        <w:t xml:space="preserve"> переключений в электроустановках и Правилами предотвращения развития и ликвидации нарушений нормального режима;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должностные инструкции персонала;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инструкции по охране труда;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документация по релейной защите и автоматике и документация по автоматизированным системам управления (при наличии у потребителя таких систем) в соответствии с требованиями нормативных правовых актов, устанавливающих требования надежности и безопасности в сфере электроэнергетики;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производственные инструкции по эксплуатации электроустановок, организации и осуществлению оперативно-технологического управления, в том числе по вопросам производства переключений в электроустановках, ведения оперативных переговоров, предотвращения развития и ликвидации нарушений нормального режима в электроустановках;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перечень документов на рабочих местах оперативного, оперативно-ремонтного персонала (смотрите далее);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графики осмотров и обходов оборудования, зданий и сооружений электроустановок потребителя.</w:t>
      </w:r>
    </w:p>
    <w:p w:rsidR="00000000" w:rsidDel="00000000" w:rsidP="00000000" w:rsidRDefault="00000000" w:rsidRPr="00000000" w14:paraId="00000017">
      <w:pPr>
        <w:spacing w:after="200" w:before="20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Списки работников, указанных в пункте 12 Правил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00" w:lineRule="auto"/>
        <w:ind w:left="720" w:hanging="360"/>
      </w:pPr>
      <w:r w:rsidDel="00000000" w:rsidR="00000000" w:rsidRPr="00000000">
        <w:rPr>
          <w:rtl w:val="0"/>
        </w:rPr>
        <w:t xml:space="preserve">имеющие право выполнения переключений в электроустановках, ведения оперативных переговоров;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имеющие 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имеющие право единоличного осмотра электроустановок;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имеющие 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 в соответствии с </w:t>
      </w:r>
      <w:hyperlink r:id="rId9">
        <w:r w:rsidDel="00000000" w:rsidR="00000000" w:rsidRPr="00000000">
          <w:rPr>
            <w:rtl w:val="0"/>
          </w:rPr>
          <w:t xml:space="preserve">Правилами</w:t>
        </w:r>
      </w:hyperlink>
      <w:r w:rsidDel="00000000" w:rsidR="00000000" w:rsidRPr="00000000">
        <w:rPr>
          <w:rtl w:val="0"/>
        </w:rPr>
        <w:t xml:space="preserve"> по охране труда при эксплуатации электроустановок, утвержденными приказом Минтруда России от 15 декабря 2020 г. N 903н;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</w:pPr>
      <w:r w:rsidDel="00000000" w:rsidR="00000000" w:rsidRPr="00000000">
        <w:rPr>
          <w:rtl w:val="0"/>
        </w:rPr>
        <w:t xml:space="preserve">допущенные к проверке подземных сооружений на загазованность (при наличии у потребителя таких сооружений);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00" w:lineRule="auto"/>
        <w:ind w:left="720" w:hanging="360"/>
      </w:pPr>
      <w:r w:rsidDel="00000000" w:rsidR="00000000" w:rsidRPr="00000000">
        <w:rPr>
          <w:rtl w:val="0"/>
        </w:rPr>
        <w:t xml:space="preserve">имеющие право производства специальных работ в электроустановках (при определенной потребителем необходимости выполнения таких работ).</w:t>
      </w:r>
    </w:p>
    <w:p w:rsidR="00000000" w:rsidDel="00000000" w:rsidP="00000000" w:rsidRDefault="00000000" w:rsidRPr="00000000" w14:paraId="0000001E">
      <w:pPr>
        <w:spacing w:after="200" w:before="20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 документов на рабочих местах оперативного, оперативно-ремонтного персонала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оперативная схема электрических соединений (далее - оперативная схема), по решению потребителя - также схема-макет. Для потребителей, имеющих в схеме электроснабжения только ЛЭП (участок ЛЭП) или распределительные устройства напряжением выше 1000 В с одиночной секционированной или несекционированной системой шин, не имеющей обходной системы шин, допускается наличие однолинейной схемы первичных электрических соединений, на которой не отмечается фактическое положение коммутационных аппаратов;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оперативный журнал;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распоряжений;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учета работ по нарядам и распоряжениям;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выдачи и возврата ключей от электроустановок;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релейной защиты и автоматики;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телемеханики;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или картотека дефектов и неполадок на электрооборудовании;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диспетчерские и оперативные заявки (журнал (картотека) диспетчерских и оперативных заявок) на изменение технологического режима работы или эксплуатационного состояния ЛЭП оборудования и устройств;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ведомости (журналы) показаний контрольно-измерительных приборов (не требуется при наличии у потребителя автоматизированной информационно-измерительной системы коммерческого учета электрической энергии);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журнал учета электрооборудования;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нормальная схема электрических соединений электроустановки;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бланки (типовые бланки) переключений в электроустановках и иная документация, указанная в Правилах переключений в электроустановках;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перечни ЛЭП, оборудования и устройств электроустановок с их распределением по способу технологического управления и 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однолинейная схема первичных электрических соединений электроустановки;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списки работников, указанных в пункте 12 Правил;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списки работников сетевой (энергоснабжающей) организации и организаций, имеющих право вести оперативные переговоры и выполнять переключения в электроустановках.</w:t>
      </w:r>
    </w:p>
    <w:p w:rsidR="00000000" w:rsidDel="00000000" w:rsidP="00000000" w:rsidRDefault="00000000" w:rsidRPr="00000000" w14:paraId="00000030">
      <w:pPr>
        <w:spacing w:after="20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Нормативные акты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Федеральный закон от 26 марта 2003 г. N 35-ФЗ «Об электроэнергетике»;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Постановление Правительства Российской Федерации от 13 августа 2018 г. N 937 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Постановление Правительства Российской Федерации от 2 марта 2017 г. N 244 «О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Федерации»;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оптового рынка электрической энергии и мощности, утвержденные Постановлением Правительства Российской Федерации от 27 декабря 2010 г. N 1172;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Основные положения функционирования розничных рынков электрической энергии, утвержденные Постановлением Правительства Российской Федерации от 4 мая 2012 г. N 442;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полного и (или) частичного ограничения режима потребления электрической энергии, утвержденные Постановлением Правительства Российской Федерации от 4 мая 2012 г. N 442;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от 27 декабря 2004 г. N 861;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861;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технической эксплуатации электроустановок потребителей (ПТЭЭП), утвержденные приказом Минэнерго РФ от 12.08.2022 № 811;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по охране труда при эксплуатации электроустановок, утвержденные приказом Минтруда России от 15 декабря 2020 г. N 903н;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переключений в электроустановках, утвержденные приказом Минэнерго России от 13 сентября 2018 г. N 757;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предотвращения развития и ликвидации нарушений нормального режима электрической части энергосистем и объектов электроэнергетики, утвержденные приказом Минэнерго России от 12 июля 2018 г. N 548;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N 290;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проведения противоаварийных тренировок в организациях электроэнергетики Российской Федерации, утвержденные приказом Минэнерго России от 26 января 2021 г. N 27;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организации технического обслуживания и ремонта объектов электроэнергетики, утвержденные приказом Минэнерго России от 25 октября 2017 г. N 1013;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технического обслуживания устройств и комплексов релейной защиты и автоматики, утвержденные приказом Минэнерго России от 13 июля 2020 г. N 555;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проведения технического освидетельствования оборудования, зданий и сооружений объектов электроэнергетики, утвержденные приказом Минэнерго России от 14 мая 2019 г. N 465;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200" w:before="200" w:lineRule="auto"/>
        <w:ind w:left="720" w:hanging="360"/>
      </w:pPr>
      <w:r w:rsidDel="00000000" w:rsidR="00000000" w:rsidRPr="00000000">
        <w:rPr>
          <w:rtl w:val="0"/>
        </w:rPr>
        <w:t xml:space="preserve">Правила работы с персоналом в организациях электроэнергетики Российской Федерации, утвержденные приказом Минэнерго России от 22 сентября 2020 г. N 796.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33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before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ormativ.kontur.ru/document?moduleId=1&amp;documentId=430799#l3" TargetMode="Externa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7173#l506" TargetMode="External"/><Relationship Id="rId7" Type="http://schemas.openxmlformats.org/officeDocument/2006/relationships/hyperlink" Target="https://normativ.kontur.ru/document?moduleId=1&amp;documentId=383756#l57" TargetMode="External"/><Relationship Id="rId8" Type="http://schemas.openxmlformats.org/officeDocument/2006/relationships/hyperlink" Target="https://normativ.kontur.ru/document?moduleId=1&amp;documentId=426911#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